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spacing w:line="360" w:lineRule="auto"/>
        <w:jc w:val="center"/>
        <w:rPr>
          <w:rFonts w:ascii="仿宋" w:hAnsi="仿宋" w:eastAsia="仿宋"/>
          <w:sz w:val="44"/>
          <w:szCs w:val="44"/>
        </w:rPr>
      </w:pPr>
    </w:p>
    <w:p>
      <w:pPr>
        <w:pStyle w:val="23"/>
        <w:spacing w:line="360" w:lineRule="auto"/>
        <w:jc w:val="center"/>
        <w:rPr>
          <w:rFonts w:ascii="仿宋" w:hAnsi="仿宋" w:eastAsia="仿宋"/>
          <w:sz w:val="72"/>
          <w:szCs w:val="72"/>
          <w:lang w:val="uk-UA"/>
        </w:rPr>
      </w:pPr>
      <w:r>
        <w:rPr>
          <w:rFonts w:ascii="仿宋" w:hAnsi="仿宋" w:eastAsia="仿宋"/>
          <w:sz w:val="72"/>
          <w:szCs w:val="72"/>
        </w:rPr>
        <w:t>大同市中等职业教育质量</w:t>
      </w:r>
    </w:p>
    <w:p>
      <w:pPr>
        <w:pStyle w:val="23"/>
        <w:spacing w:line="360" w:lineRule="auto"/>
        <w:jc w:val="center"/>
        <w:rPr>
          <w:rFonts w:ascii="仿宋" w:hAnsi="仿宋" w:eastAsia="仿宋"/>
          <w:sz w:val="72"/>
          <w:szCs w:val="72"/>
          <w:lang w:val="uk-UA"/>
        </w:rPr>
      </w:pPr>
      <w:r>
        <w:rPr>
          <w:rFonts w:ascii="仿宋" w:hAnsi="仿宋" w:eastAsia="仿宋"/>
          <w:sz w:val="72"/>
          <w:szCs w:val="72"/>
        </w:rPr>
        <w:t>年度报告</w:t>
      </w:r>
    </w:p>
    <w:p>
      <w:pPr>
        <w:pStyle w:val="23"/>
        <w:spacing w:line="360" w:lineRule="auto"/>
        <w:jc w:val="center"/>
        <w:rPr>
          <w:rFonts w:ascii="仿宋" w:hAnsi="仿宋" w:eastAsia="仿宋"/>
          <w:sz w:val="52"/>
          <w:szCs w:val="52"/>
          <w:lang w:val="uk-UA"/>
        </w:rPr>
      </w:pPr>
      <w:r>
        <w:rPr>
          <w:rFonts w:hint="eastAsia" w:ascii="仿宋" w:hAnsi="仿宋" w:eastAsia="仿宋"/>
          <w:sz w:val="52"/>
          <w:szCs w:val="52"/>
          <w:lang w:eastAsia="zh-CN"/>
        </w:rPr>
        <w:t>（</w:t>
      </w:r>
      <w:r>
        <w:rPr>
          <w:rFonts w:ascii="仿宋" w:hAnsi="仿宋" w:eastAsia="仿宋"/>
          <w:sz w:val="52"/>
          <w:szCs w:val="52"/>
        </w:rPr>
        <w:t>20</w:t>
      </w:r>
      <w:r>
        <w:rPr>
          <w:rFonts w:hint="eastAsia" w:ascii="仿宋" w:hAnsi="仿宋" w:eastAsia="仿宋"/>
          <w:sz w:val="52"/>
          <w:szCs w:val="52"/>
          <w:lang w:eastAsia="zh-CN"/>
        </w:rPr>
        <w:t>20</w:t>
      </w:r>
      <w:r>
        <w:rPr>
          <w:rFonts w:ascii="仿宋" w:hAnsi="仿宋" w:eastAsia="仿宋"/>
          <w:sz w:val="52"/>
          <w:szCs w:val="52"/>
        </w:rPr>
        <w:t>年度</w:t>
      </w:r>
      <w:r>
        <w:rPr>
          <w:rFonts w:hint="eastAsia" w:ascii="仿宋" w:hAnsi="仿宋" w:eastAsia="仿宋"/>
          <w:sz w:val="52"/>
          <w:szCs w:val="52"/>
          <w:lang w:eastAsia="zh-CN"/>
        </w:rPr>
        <w:t>）</w:t>
      </w:r>
    </w:p>
    <w:p>
      <w:pPr>
        <w:pStyle w:val="24"/>
        <w:spacing w:line="360" w:lineRule="auto"/>
        <w:jc w:val="center"/>
        <w:rPr>
          <w:rFonts w:ascii="仿宋" w:hAnsi="仿宋" w:eastAsia="仿宋"/>
          <w:szCs w:val="28"/>
          <w:lang w:val="uk-UA"/>
        </w:rPr>
      </w:pPr>
    </w:p>
    <w:p>
      <w:pPr>
        <w:pStyle w:val="24"/>
        <w:spacing w:line="360" w:lineRule="auto"/>
        <w:jc w:val="center"/>
        <w:rPr>
          <w:rFonts w:ascii="仿宋" w:hAnsi="仿宋" w:eastAsia="仿宋"/>
          <w:szCs w:val="28"/>
          <w:lang w:val="uk-UA"/>
        </w:rPr>
      </w:pPr>
    </w:p>
    <w:p>
      <w:pPr>
        <w:pStyle w:val="24"/>
        <w:spacing w:line="360" w:lineRule="auto"/>
        <w:jc w:val="center"/>
        <w:rPr>
          <w:rFonts w:ascii="仿宋" w:hAnsi="仿宋" w:eastAsia="仿宋"/>
          <w:szCs w:val="28"/>
          <w:lang w:val="uk-UA"/>
        </w:rPr>
      </w:pPr>
    </w:p>
    <w:p>
      <w:pPr>
        <w:pStyle w:val="24"/>
        <w:spacing w:line="360" w:lineRule="auto"/>
        <w:jc w:val="center"/>
        <w:rPr>
          <w:rFonts w:ascii="仿宋" w:hAnsi="仿宋" w:eastAsia="仿宋"/>
          <w:szCs w:val="28"/>
          <w:lang w:val="uk-UA"/>
        </w:rPr>
      </w:pPr>
    </w:p>
    <w:p>
      <w:pPr>
        <w:pStyle w:val="24"/>
        <w:spacing w:line="360" w:lineRule="auto"/>
        <w:jc w:val="center"/>
        <w:rPr>
          <w:rFonts w:ascii="仿宋" w:hAnsi="仿宋" w:eastAsia="仿宋"/>
          <w:szCs w:val="28"/>
          <w:lang w:val="uk-UA"/>
        </w:rPr>
      </w:pPr>
    </w:p>
    <w:p>
      <w:pPr>
        <w:pStyle w:val="24"/>
        <w:spacing w:line="360" w:lineRule="auto"/>
        <w:jc w:val="center"/>
        <w:rPr>
          <w:rFonts w:ascii="仿宋" w:hAnsi="仿宋" w:eastAsia="仿宋"/>
          <w:szCs w:val="28"/>
          <w:lang w:val="uk-UA"/>
        </w:rPr>
      </w:pPr>
    </w:p>
    <w:p>
      <w:pPr>
        <w:pStyle w:val="24"/>
        <w:spacing w:line="360" w:lineRule="auto"/>
        <w:jc w:val="center"/>
        <w:rPr>
          <w:rFonts w:ascii="仿宋" w:hAnsi="仿宋" w:eastAsia="仿宋"/>
          <w:szCs w:val="28"/>
          <w:lang w:val="uk-UA"/>
        </w:rPr>
      </w:pPr>
    </w:p>
    <w:p>
      <w:pPr>
        <w:pStyle w:val="24"/>
        <w:spacing w:line="360" w:lineRule="auto"/>
        <w:jc w:val="center"/>
        <w:rPr>
          <w:rFonts w:ascii="仿宋" w:hAnsi="仿宋" w:eastAsia="仿宋"/>
          <w:szCs w:val="28"/>
          <w:lang w:val="uk-UA"/>
        </w:rPr>
      </w:pPr>
    </w:p>
    <w:p>
      <w:pPr>
        <w:pStyle w:val="24"/>
        <w:spacing w:line="360" w:lineRule="auto"/>
        <w:jc w:val="center"/>
        <w:rPr>
          <w:rFonts w:ascii="仿宋" w:hAnsi="仿宋" w:eastAsia="仿宋"/>
          <w:szCs w:val="28"/>
          <w:lang w:val="uk-UA"/>
        </w:rPr>
      </w:pPr>
    </w:p>
    <w:p>
      <w:pPr>
        <w:pStyle w:val="24"/>
        <w:spacing w:line="360" w:lineRule="auto"/>
        <w:jc w:val="center"/>
        <w:rPr>
          <w:rFonts w:ascii="仿宋" w:hAnsi="仿宋" w:eastAsia="仿宋"/>
          <w:sz w:val="44"/>
          <w:szCs w:val="44"/>
          <w:lang w:val="uk-UA"/>
        </w:rPr>
      </w:pPr>
      <w:r>
        <w:rPr>
          <w:rFonts w:ascii="仿宋" w:hAnsi="仿宋" w:eastAsia="仿宋"/>
          <w:sz w:val="44"/>
          <w:szCs w:val="44"/>
        </w:rPr>
        <w:t>大同市教育局</w:t>
      </w:r>
    </w:p>
    <w:p>
      <w:pPr>
        <w:pStyle w:val="24"/>
        <w:spacing w:line="360" w:lineRule="auto"/>
        <w:jc w:val="center"/>
        <w:rPr>
          <w:rFonts w:ascii="仿宋" w:hAnsi="仿宋" w:eastAsia="仿宋"/>
          <w:sz w:val="32"/>
          <w:szCs w:val="32"/>
          <w:lang w:val="uk-UA" w:eastAsia="zh-CN"/>
        </w:rPr>
        <w:sectPr>
          <w:pgSz w:w="11900" w:h="16840"/>
          <w:pgMar w:top="1440" w:right="1797" w:bottom="1440" w:left="1797" w:header="720" w:footer="720" w:gutter="0"/>
          <w:cols w:space="720" w:num="1"/>
        </w:sectPr>
      </w:pPr>
      <w:r>
        <w:rPr>
          <w:rFonts w:ascii="仿宋" w:hAnsi="仿宋" w:eastAsia="仿宋"/>
          <w:sz w:val="32"/>
          <w:szCs w:val="32"/>
          <w:lang w:val="uk-UA"/>
        </w:rPr>
        <w:t>202</w:t>
      </w:r>
      <w:r>
        <w:rPr>
          <w:rFonts w:hint="eastAsia" w:ascii="仿宋" w:hAnsi="仿宋" w:eastAsia="仿宋"/>
          <w:sz w:val="32"/>
          <w:szCs w:val="32"/>
          <w:lang w:eastAsia="zh-CN"/>
        </w:rPr>
        <w:t>1</w:t>
      </w:r>
      <w:r>
        <w:rPr>
          <w:rFonts w:ascii="仿宋" w:hAnsi="仿宋" w:eastAsia="仿宋"/>
          <w:sz w:val="32"/>
          <w:szCs w:val="32"/>
          <w:lang w:val="uk-UA"/>
        </w:rPr>
        <w:t>年</w:t>
      </w:r>
      <w:r>
        <w:rPr>
          <w:rFonts w:ascii="仿宋" w:hAnsi="仿宋" w:eastAsia="仿宋"/>
          <w:sz w:val="32"/>
          <w:szCs w:val="32"/>
          <w:lang w:val="uk-UA" w:eastAsia="zh-CN"/>
        </w:rPr>
        <w:t>1</w:t>
      </w:r>
      <w:r>
        <w:rPr>
          <w:rFonts w:hint="eastAsia" w:ascii="仿宋" w:hAnsi="仿宋" w:eastAsia="仿宋"/>
          <w:sz w:val="32"/>
          <w:szCs w:val="32"/>
          <w:lang w:val="uk-UA" w:eastAsia="zh-CN"/>
        </w:rPr>
        <w:t>月</w:t>
      </w:r>
    </w:p>
    <w:p>
      <w:pPr>
        <w:pStyle w:val="25"/>
        <w:spacing w:line="300" w:lineRule="auto"/>
        <w:jc w:val="center"/>
        <w:rPr>
          <w:rFonts w:ascii="仿宋" w:hAnsi="仿宋" w:eastAsia="仿宋"/>
          <w:sz w:val="44"/>
          <w:szCs w:val="44"/>
        </w:rPr>
      </w:pPr>
      <w:r>
        <w:rPr>
          <w:rFonts w:ascii="仿宋" w:hAnsi="仿宋" w:eastAsia="仿宋"/>
          <w:sz w:val="44"/>
          <w:szCs w:val="44"/>
        </w:rPr>
        <w:t>目</w:t>
      </w:r>
      <w:r>
        <w:rPr>
          <w:rFonts w:hint="eastAsia" w:ascii="仿宋" w:hAnsi="仿宋" w:eastAsia="仿宋"/>
          <w:sz w:val="44"/>
          <w:szCs w:val="44"/>
          <w:lang w:eastAsia="zh-CN"/>
        </w:rPr>
        <w:t xml:space="preserve"> </w:t>
      </w:r>
      <w:r>
        <w:rPr>
          <w:rFonts w:ascii="仿宋" w:hAnsi="仿宋" w:eastAsia="仿宋"/>
          <w:sz w:val="44"/>
          <w:szCs w:val="44"/>
          <w:lang w:eastAsia="zh-CN"/>
        </w:rPr>
        <w:t xml:space="preserve">    </w:t>
      </w:r>
      <w:r>
        <w:rPr>
          <w:rFonts w:ascii="仿宋" w:hAnsi="仿宋" w:eastAsia="仿宋"/>
          <w:sz w:val="44"/>
          <w:szCs w:val="44"/>
        </w:rPr>
        <w:t>录</w:t>
      </w:r>
    </w:p>
    <w:p>
      <w:pPr>
        <w:pStyle w:val="10"/>
        <w:tabs>
          <w:tab w:val="right" w:leader="dot" w:pos="8296"/>
        </w:tabs>
        <w:spacing w:line="300" w:lineRule="auto"/>
        <w:rPr>
          <w:rFonts w:asciiTheme="minorHAnsi" w:hAnsiTheme="minorHAnsi" w:eastAsiaTheme="minorEastAsia"/>
          <w:kern w:val="2"/>
          <w:sz w:val="21"/>
          <w:szCs w:val="22"/>
          <w:lang w:eastAsia="zh-CN"/>
        </w:rPr>
      </w:pPr>
      <w:r>
        <w:rPr>
          <w:rFonts w:ascii="仿宋" w:hAnsi="仿宋" w:eastAsia="仿宋"/>
          <w:szCs w:val="28"/>
        </w:rPr>
        <w:fldChar w:fldCharType="begin"/>
      </w:r>
      <w:r>
        <w:rPr>
          <w:rFonts w:ascii="仿宋" w:hAnsi="仿宋" w:eastAsia="仿宋"/>
          <w:szCs w:val="28"/>
        </w:rPr>
        <w:instrText xml:space="preserve">TOC \o "1-3" \h \z </w:instrText>
      </w:r>
      <w:r>
        <w:rPr>
          <w:rFonts w:ascii="仿宋" w:hAnsi="仿宋" w:eastAsia="仿宋"/>
          <w:szCs w:val="28"/>
        </w:rPr>
        <w:fldChar w:fldCharType="separate"/>
      </w:r>
      <w:r>
        <w:fldChar w:fldCharType="begin"/>
      </w:r>
      <w:r>
        <w:instrText xml:space="preserve"> HYPERLINK \l "_Toc66798287" </w:instrText>
      </w:r>
      <w:r>
        <w:fldChar w:fldCharType="separate"/>
      </w:r>
      <w:r>
        <w:rPr>
          <w:rStyle w:val="19"/>
          <w:rFonts w:ascii="仿宋" w:hAnsi="仿宋" w:eastAsia="仿宋" w:cs="黑体"/>
        </w:rPr>
        <w:t>1．基本情况</w:t>
      </w:r>
      <w:r>
        <w:tab/>
      </w:r>
      <w:r>
        <w:fldChar w:fldCharType="begin"/>
      </w:r>
      <w:r>
        <w:instrText xml:space="preserve"> PAGEREF _Toc66798287 \h </w:instrText>
      </w:r>
      <w:r>
        <w:fldChar w:fldCharType="separate"/>
      </w:r>
      <w:r>
        <w:t>1</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"_Toc66798288" </w:instrText>
      </w:r>
      <w:r>
        <w:fldChar w:fldCharType="separate"/>
      </w:r>
      <w:r>
        <w:rPr>
          <w:rStyle w:val="19"/>
          <w:rFonts w:ascii="仿宋" w:hAnsi="仿宋" w:eastAsia="仿宋" w:cs="楷体"/>
        </w:rPr>
        <w:t>1</w:t>
      </w:r>
      <w:r>
        <w:rPr>
          <w:rStyle w:val="19"/>
          <w:rFonts w:ascii="仿宋" w:hAnsi="仿宋" w:eastAsia="仿宋" w:cs="楷体"/>
          <w:lang w:eastAsia="zh-CN"/>
        </w:rPr>
        <w:t>.</w:t>
      </w:r>
      <w:r>
        <w:rPr>
          <w:rStyle w:val="19"/>
          <w:rFonts w:ascii="仿宋" w:hAnsi="仿宋" w:eastAsia="仿宋" w:cs="楷体"/>
        </w:rPr>
        <w:t>1规模和结构</w:t>
      </w:r>
      <w:r>
        <w:tab/>
      </w:r>
      <w:r>
        <w:fldChar w:fldCharType="begin"/>
      </w:r>
      <w:r>
        <w:instrText xml:space="preserve"> PAGEREF _Toc66798288 \h </w:instrText>
      </w:r>
      <w:r>
        <w:fldChar w:fldCharType="separate"/>
      </w:r>
      <w:r>
        <w:t>1</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"_Toc66798289" </w:instrText>
      </w:r>
      <w:r>
        <w:fldChar w:fldCharType="separate"/>
      </w:r>
      <w:r>
        <w:rPr>
          <w:rStyle w:val="19"/>
          <w:rFonts w:ascii="仿宋" w:hAnsi="仿宋" w:eastAsia="仿宋" w:cs="楷体"/>
        </w:rPr>
        <w:t>1</w:t>
      </w:r>
      <w:r>
        <w:rPr>
          <w:rStyle w:val="19"/>
          <w:rFonts w:ascii="仿宋" w:hAnsi="仿宋" w:eastAsia="仿宋" w:cs="楷体"/>
          <w:lang w:eastAsia="zh-CN"/>
        </w:rPr>
        <w:t>.</w:t>
      </w:r>
      <w:r>
        <w:rPr>
          <w:rStyle w:val="19"/>
          <w:rFonts w:ascii="仿宋" w:hAnsi="仿宋" w:eastAsia="仿宋" w:cs="楷体"/>
        </w:rPr>
        <w:t>2设施设备</w:t>
      </w:r>
      <w:r>
        <w:tab/>
      </w:r>
      <w:r>
        <w:fldChar w:fldCharType="begin"/>
      </w:r>
      <w:r>
        <w:instrText xml:space="preserve"> PAGEREF _Toc66798289 \h </w:instrText>
      </w:r>
      <w:r>
        <w:fldChar w:fldCharType="separate"/>
      </w:r>
      <w:r>
        <w:t>2</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"_Toc66798290" </w:instrText>
      </w:r>
      <w:r>
        <w:fldChar w:fldCharType="separate"/>
      </w:r>
      <w:r>
        <w:rPr>
          <w:rStyle w:val="19"/>
          <w:rFonts w:ascii="仿宋" w:hAnsi="仿宋" w:eastAsia="仿宋" w:cs="楷体"/>
        </w:rPr>
        <w:t>1</w:t>
      </w:r>
      <w:r>
        <w:rPr>
          <w:rStyle w:val="19"/>
          <w:rFonts w:ascii="仿宋" w:hAnsi="仿宋" w:eastAsia="仿宋" w:cs="楷体"/>
          <w:lang w:eastAsia="zh-CN"/>
        </w:rPr>
        <w:t>.</w:t>
      </w:r>
      <w:r>
        <w:rPr>
          <w:rStyle w:val="19"/>
          <w:rFonts w:ascii="仿宋" w:hAnsi="仿宋" w:eastAsia="仿宋" w:cs="楷体"/>
        </w:rPr>
        <w:t>3教师队伍</w:t>
      </w:r>
      <w:r>
        <w:tab/>
      </w:r>
      <w:r>
        <w:fldChar w:fldCharType="begin"/>
      </w:r>
      <w:r>
        <w:instrText xml:space="preserve"> PAGEREF _Toc66798290 \h </w:instrText>
      </w:r>
      <w:r>
        <w:fldChar w:fldCharType="separate"/>
      </w:r>
      <w:r>
        <w:t>4</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"_Toc66798291" </w:instrText>
      </w:r>
      <w:r>
        <w:fldChar w:fldCharType="separate"/>
      </w:r>
      <w:r>
        <w:rPr>
          <w:rStyle w:val="19"/>
          <w:rFonts w:ascii="仿宋" w:hAnsi="仿宋" w:eastAsia="仿宋" w:cs="仿宋_GB2312"/>
        </w:rPr>
        <w:t>2．学生发展</w:t>
      </w:r>
      <w:r>
        <w:tab/>
      </w:r>
      <w:r>
        <w:fldChar w:fldCharType="begin"/>
      </w:r>
      <w:r>
        <w:instrText xml:space="preserve"> PAGEREF _Toc66798291 \h </w:instrText>
      </w:r>
      <w:r>
        <w:fldChar w:fldCharType="separate"/>
      </w:r>
      <w:r>
        <w:t>4</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"_Toc66798292" </w:instrText>
      </w:r>
      <w:r>
        <w:fldChar w:fldCharType="separate"/>
      </w:r>
      <w:r>
        <w:rPr>
          <w:rStyle w:val="19"/>
          <w:rFonts w:ascii="仿宋" w:hAnsi="仿宋" w:eastAsia="仿宋" w:cs="仿宋_GB2312"/>
        </w:rPr>
        <w:t>2</w:t>
      </w:r>
      <w:r>
        <w:rPr>
          <w:rStyle w:val="19"/>
          <w:rFonts w:ascii="仿宋" w:hAnsi="仿宋" w:eastAsia="仿宋" w:cs="仿宋_GB2312"/>
          <w:lang w:eastAsia="zh-CN"/>
        </w:rPr>
        <w:t>.</w:t>
      </w:r>
      <w:r>
        <w:rPr>
          <w:rStyle w:val="19"/>
          <w:rFonts w:ascii="仿宋" w:hAnsi="仿宋" w:eastAsia="仿宋" w:cs="仿宋_GB2312"/>
        </w:rPr>
        <w:t>1学生素质</w:t>
      </w:r>
      <w:r>
        <w:tab/>
      </w:r>
      <w:r>
        <w:fldChar w:fldCharType="begin"/>
      </w:r>
      <w:r>
        <w:instrText xml:space="preserve"> PAGEREF _Toc66798292 \h </w:instrText>
      </w:r>
      <w:r>
        <w:fldChar w:fldCharType="separate"/>
      </w:r>
      <w:r>
        <w:t>4</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"_Toc66798293" </w:instrText>
      </w:r>
      <w:r>
        <w:fldChar w:fldCharType="separate"/>
      </w:r>
      <w:r>
        <w:rPr>
          <w:rStyle w:val="19"/>
          <w:rFonts w:ascii="仿宋" w:hAnsi="仿宋" w:eastAsia="仿宋" w:cs="楷体"/>
        </w:rPr>
        <w:t>2</w:t>
      </w:r>
      <w:r>
        <w:rPr>
          <w:rStyle w:val="19"/>
          <w:rFonts w:ascii="仿宋" w:hAnsi="仿宋" w:eastAsia="仿宋" w:cs="楷体"/>
          <w:lang w:eastAsia="zh-CN"/>
        </w:rPr>
        <w:t>.</w:t>
      </w:r>
      <w:r>
        <w:rPr>
          <w:rStyle w:val="19"/>
          <w:rFonts w:ascii="仿宋" w:hAnsi="仿宋" w:eastAsia="仿宋" w:cs="楷体"/>
        </w:rPr>
        <w:t>2就业质量</w:t>
      </w:r>
      <w:r>
        <w:tab/>
      </w:r>
      <w:r>
        <w:fldChar w:fldCharType="begin"/>
      </w:r>
      <w:r>
        <w:instrText xml:space="preserve"> PAGEREF _Toc66798293 \h </w:instrText>
      </w:r>
      <w:r>
        <w:fldChar w:fldCharType="separate"/>
      </w:r>
      <w:r>
        <w:t>10</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"_Toc66798294" </w:instrText>
      </w:r>
      <w:r>
        <w:fldChar w:fldCharType="separate"/>
      </w:r>
      <w:r>
        <w:rPr>
          <w:rStyle w:val="19"/>
          <w:rFonts w:ascii="仿宋" w:hAnsi="仿宋" w:eastAsia="仿宋" w:cs="楷体"/>
        </w:rPr>
        <w:t>2</w:t>
      </w:r>
      <w:r>
        <w:rPr>
          <w:rStyle w:val="19"/>
          <w:rFonts w:ascii="仿宋" w:hAnsi="仿宋" w:eastAsia="仿宋" w:cs="楷体"/>
          <w:lang w:eastAsia="zh-CN"/>
        </w:rPr>
        <w:t>.3升学情况</w:t>
      </w:r>
      <w:r>
        <w:tab/>
      </w:r>
      <w:r>
        <w:fldChar w:fldCharType="begin"/>
      </w:r>
      <w:r>
        <w:instrText xml:space="preserve"> PAGEREF _Toc66798294 \h </w:instrText>
      </w:r>
      <w:r>
        <w:fldChar w:fldCharType="separate"/>
      </w:r>
      <w:r>
        <w:t>11</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"_Toc66798295" </w:instrText>
      </w:r>
      <w:r>
        <w:fldChar w:fldCharType="separate"/>
      </w:r>
      <w:r>
        <w:rPr>
          <w:rStyle w:val="19"/>
          <w:rFonts w:ascii="仿宋" w:hAnsi="仿宋" w:eastAsia="仿宋" w:cs="黑体"/>
        </w:rPr>
        <w:t>3</w:t>
      </w:r>
      <w:r>
        <w:rPr>
          <w:rStyle w:val="19"/>
          <w:rFonts w:ascii="仿宋" w:hAnsi="仿宋" w:eastAsia="仿宋" w:cs="黑体"/>
          <w:lang w:eastAsia="zh-CN"/>
        </w:rPr>
        <w:t>.</w:t>
      </w:r>
      <w:r>
        <w:rPr>
          <w:rStyle w:val="19"/>
          <w:rFonts w:ascii="仿宋" w:hAnsi="仿宋" w:eastAsia="仿宋" w:cs="黑体"/>
        </w:rPr>
        <w:t>质量保障措施</w:t>
      </w:r>
      <w:r>
        <w:tab/>
      </w:r>
      <w:r>
        <w:fldChar w:fldCharType="begin"/>
      </w:r>
      <w:r>
        <w:instrText xml:space="preserve"> PAGEREF _Toc66798295 \h </w:instrText>
      </w:r>
      <w:r>
        <w:fldChar w:fldCharType="separate"/>
      </w:r>
      <w:r>
        <w:t>12</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"_Toc66798296" </w:instrText>
      </w:r>
      <w:r>
        <w:fldChar w:fldCharType="separate"/>
      </w:r>
      <w:r>
        <w:rPr>
          <w:rStyle w:val="19"/>
          <w:rFonts w:ascii="仿宋" w:hAnsi="仿宋" w:eastAsia="仿宋" w:cs="楷体"/>
        </w:rPr>
        <w:t>3</w:t>
      </w:r>
      <w:r>
        <w:rPr>
          <w:rStyle w:val="19"/>
          <w:rFonts w:ascii="仿宋" w:hAnsi="仿宋" w:eastAsia="仿宋" w:cs="楷体"/>
          <w:lang w:eastAsia="zh-CN"/>
        </w:rPr>
        <w:t>.</w:t>
      </w:r>
      <w:r>
        <w:rPr>
          <w:rStyle w:val="19"/>
          <w:rFonts w:ascii="仿宋" w:hAnsi="仿宋" w:eastAsia="仿宋" w:cs="楷体"/>
        </w:rPr>
        <w:t>1专业布局</w:t>
      </w:r>
      <w:r>
        <w:tab/>
      </w:r>
      <w:r>
        <w:fldChar w:fldCharType="begin"/>
      </w:r>
      <w:r>
        <w:instrText xml:space="preserve"> PAGEREF _Toc66798296 \h </w:instrText>
      </w:r>
      <w:r>
        <w:fldChar w:fldCharType="separate"/>
      </w:r>
      <w:r>
        <w:t>12</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"_Toc66798297" </w:instrText>
      </w:r>
      <w:r>
        <w:fldChar w:fldCharType="separate"/>
      </w:r>
      <w:r>
        <w:rPr>
          <w:rStyle w:val="19"/>
          <w:rFonts w:ascii="仿宋" w:hAnsi="仿宋" w:eastAsia="仿宋" w:cs="仿宋_GB2312"/>
        </w:rPr>
        <w:t>3</w:t>
      </w:r>
      <w:r>
        <w:rPr>
          <w:rStyle w:val="19"/>
          <w:rFonts w:ascii="仿宋" w:hAnsi="仿宋" w:eastAsia="仿宋" w:cs="仿宋_GB2312"/>
          <w:lang w:eastAsia="zh-CN"/>
        </w:rPr>
        <w:t>.</w:t>
      </w:r>
      <w:r>
        <w:rPr>
          <w:rStyle w:val="19"/>
          <w:rFonts w:ascii="仿宋" w:hAnsi="仿宋" w:eastAsia="仿宋" w:cs="仿宋_GB2312"/>
        </w:rPr>
        <w:t>1</w:t>
      </w:r>
      <w:r>
        <w:rPr>
          <w:rStyle w:val="19"/>
          <w:rFonts w:ascii="仿宋" w:hAnsi="仿宋" w:eastAsia="仿宋" w:cs="仿宋_GB2312"/>
          <w:lang w:eastAsia="zh-CN"/>
        </w:rPr>
        <w:t>.</w:t>
      </w:r>
      <w:r>
        <w:rPr>
          <w:rStyle w:val="19"/>
          <w:rFonts w:ascii="仿宋" w:hAnsi="仿宋" w:eastAsia="仿宋" w:cs="仿宋_GB2312"/>
        </w:rPr>
        <w:t>1专业动态调整</w:t>
      </w:r>
      <w:r>
        <w:tab/>
      </w:r>
      <w:r>
        <w:fldChar w:fldCharType="begin"/>
      </w:r>
      <w:r>
        <w:instrText xml:space="preserve"> PAGEREF _Toc66798297 \h </w:instrText>
      </w:r>
      <w:r>
        <w:fldChar w:fldCharType="separate"/>
      </w:r>
      <w:r>
        <w:t>12</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"_Toc66798298" </w:instrText>
      </w:r>
      <w:r>
        <w:fldChar w:fldCharType="separate"/>
      </w:r>
      <w:r>
        <w:rPr>
          <w:rStyle w:val="19"/>
          <w:rFonts w:ascii="仿宋" w:hAnsi="仿宋" w:eastAsia="仿宋" w:cs="仿宋_GB2312"/>
        </w:rPr>
        <w:t>3</w:t>
      </w:r>
      <w:r>
        <w:rPr>
          <w:rStyle w:val="19"/>
          <w:rFonts w:ascii="仿宋" w:hAnsi="仿宋" w:eastAsia="仿宋" w:cs="仿宋_GB2312"/>
          <w:lang w:eastAsia="zh-CN"/>
        </w:rPr>
        <w:t>.</w:t>
      </w:r>
      <w:r>
        <w:rPr>
          <w:rStyle w:val="19"/>
          <w:rFonts w:ascii="仿宋" w:hAnsi="仿宋" w:eastAsia="仿宋" w:cs="仿宋_GB2312"/>
        </w:rPr>
        <w:t>1</w:t>
      </w:r>
      <w:r>
        <w:rPr>
          <w:rStyle w:val="19"/>
          <w:rFonts w:ascii="仿宋" w:hAnsi="仿宋" w:eastAsia="仿宋" w:cs="仿宋_GB2312"/>
          <w:lang w:eastAsia="zh-CN"/>
        </w:rPr>
        <w:t>.</w:t>
      </w:r>
      <w:r>
        <w:rPr>
          <w:rStyle w:val="19"/>
          <w:rFonts w:ascii="仿宋" w:hAnsi="仿宋" w:eastAsia="仿宋" w:cs="仿宋_GB2312"/>
        </w:rPr>
        <w:t>2专业结构优化</w:t>
      </w:r>
      <w:r>
        <w:tab/>
      </w:r>
      <w:r>
        <w:fldChar w:fldCharType="begin"/>
      </w:r>
      <w:r>
        <w:instrText xml:space="preserve"> PAGEREF _Toc66798298 \h </w:instrText>
      </w:r>
      <w:r>
        <w:fldChar w:fldCharType="separate"/>
      </w:r>
      <w:r>
        <w:t>12</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"_Toc66798299" </w:instrText>
      </w:r>
      <w:r>
        <w:fldChar w:fldCharType="separate"/>
      </w:r>
      <w:r>
        <w:rPr>
          <w:rStyle w:val="19"/>
          <w:rFonts w:ascii="仿宋" w:hAnsi="仿宋" w:eastAsia="仿宋" w:cs="楷体"/>
        </w:rPr>
        <w:t>3</w:t>
      </w:r>
      <w:r>
        <w:rPr>
          <w:rStyle w:val="19"/>
          <w:rFonts w:ascii="仿宋" w:hAnsi="仿宋" w:eastAsia="仿宋" w:cs="楷体"/>
          <w:lang w:eastAsia="zh-CN"/>
        </w:rPr>
        <w:t>.</w:t>
      </w:r>
      <w:r>
        <w:rPr>
          <w:rStyle w:val="19"/>
          <w:rFonts w:ascii="仿宋" w:hAnsi="仿宋" w:eastAsia="仿宋" w:cs="楷体"/>
        </w:rPr>
        <w:t>2质量保证</w:t>
      </w:r>
      <w:r>
        <w:tab/>
      </w:r>
      <w:r>
        <w:fldChar w:fldCharType="begin"/>
      </w:r>
      <w:r>
        <w:instrText xml:space="preserve"> PAGEREF _Toc66798299 \h </w:instrText>
      </w:r>
      <w:r>
        <w:fldChar w:fldCharType="separate"/>
      </w:r>
      <w:r>
        <w:t>13</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"_Toc66798300" </w:instrText>
      </w:r>
      <w:r>
        <w:fldChar w:fldCharType="separate"/>
      </w:r>
      <w:r>
        <w:rPr>
          <w:rStyle w:val="19"/>
          <w:rFonts w:ascii="仿宋" w:hAnsi="仿宋" w:eastAsia="仿宋" w:cs="仿宋_GB2312"/>
        </w:rPr>
        <w:t>3</w:t>
      </w:r>
      <w:r>
        <w:rPr>
          <w:rStyle w:val="19"/>
          <w:rFonts w:ascii="仿宋" w:hAnsi="仿宋" w:eastAsia="仿宋" w:cs="仿宋_GB2312"/>
          <w:lang w:eastAsia="zh-CN"/>
        </w:rPr>
        <w:t>.</w:t>
      </w:r>
      <w:r>
        <w:rPr>
          <w:rStyle w:val="19"/>
          <w:rFonts w:ascii="仿宋" w:hAnsi="仿宋" w:eastAsia="仿宋" w:cs="仿宋_GB2312"/>
        </w:rPr>
        <w:t>2</w:t>
      </w:r>
      <w:r>
        <w:rPr>
          <w:rStyle w:val="19"/>
          <w:rFonts w:ascii="仿宋" w:hAnsi="仿宋" w:eastAsia="仿宋" w:cs="仿宋_GB2312"/>
          <w:lang w:eastAsia="zh-CN"/>
        </w:rPr>
        <w:t>.</w:t>
      </w:r>
      <w:r>
        <w:rPr>
          <w:rStyle w:val="19"/>
          <w:rFonts w:ascii="仿宋" w:hAnsi="仿宋" w:eastAsia="仿宋" w:cs="仿宋_GB2312"/>
        </w:rPr>
        <w:t>1质量监控体系建设</w:t>
      </w:r>
      <w:r>
        <w:tab/>
      </w:r>
      <w:r>
        <w:fldChar w:fldCharType="begin"/>
      </w:r>
      <w:r>
        <w:instrText xml:space="preserve"> PAGEREF _Toc66798300 \h </w:instrText>
      </w:r>
      <w:r>
        <w:fldChar w:fldCharType="separate"/>
      </w:r>
      <w:r>
        <w:t>13</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"_Toc66798301" </w:instrText>
      </w:r>
      <w:r>
        <w:fldChar w:fldCharType="separate"/>
      </w:r>
      <w:r>
        <w:rPr>
          <w:rStyle w:val="19"/>
          <w:rFonts w:ascii="仿宋" w:hAnsi="仿宋" w:eastAsia="仿宋" w:cs="仿宋_GB2312"/>
        </w:rPr>
        <w:t>3</w:t>
      </w:r>
      <w:r>
        <w:rPr>
          <w:rStyle w:val="19"/>
          <w:rFonts w:ascii="仿宋" w:hAnsi="仿宋" w:eastAsia="仿宋" w:cs="仿宋_GB2312"/>
          <w:lang w:eastAsia="zh-CN"/>
        </w:rPr>
        <w:t>.</w:t>
      </w:r>
      <w:r>
        <w:rPr>
          <w:rStyle w:val="19"/>
          <w:rFonts w:ascii="仿宋" w:hAnsi="仿宋" w:eastAsia="仿宋" w:cs="仿宋_GB2312"/>
        </w:rPr>
        <w:t>2</w:t>
      </w:r>
      <w:r>
        <w:rPr>
          <w:rStyle w:val="19"/>
          <w:rFonts w:ascii="仿宋" w:hAnsi="仿宋" w:eastAsia="仿宋" w:cs="仿宋_GB2312"/>
          <w:lang w:eastAsia="zh-CN"/>
        </w:rPr>
        <w:t>.</w:t>
      </w:r>
      <w:r>
        <w:rPr>
          <w:rStyle w:val="19"/>
          <w:rFonts w:ascii="仿宋" w:hAnsi="仿宋" w:eastAsia="仿宋" w:cs="仿宋_GB2312"/>
        </w:rPr>
        <w:t>2项目建设</w:t>
      </w:r>
      <w:r>
        <w:tab/>
      </w:r>
      <w:r>
        <w:fldChar w:fldCharType="begin"/>
      </w:r>
      <w:r>
        <w:instrText xml:space="preserve"> PAGEREF _Toc66798301 \h </w:instrText>
      </w:r>
      <w:r>
        <w:fldChar w:fldCharType="separate"/>
      </w:r>
      <w:r>
        <w:t>16</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"_Toc66798302" </w:instrText>
      </w:r>
      <w:r>
        <w:fldChar w:fldCharType="separate"/>
      </w:r>
      <w:r>
        <w:rPr>
          <w:rStyle w:val="19"/>
          <w:rFonts w:ascii="仿宋" w:hAnsi="仿宋" w:eastAsia="仿宋" w:cs="仿宋_GB2312"/>
        </w:rPr>
        <w:t>3</w:t>
      </w:r>
      <w:r>
        <w:rPr>
          <w:rStyle w:val="19"/>
          <w:rFonts w:ascii="仿宋" w:hAnsi="仿宋" w:eastAsia="仿宋" w:cs="仿宋_GB2312"/>
          <w:lang w:eastAsia="zh-CN"/>
        </w:rPr>
        <w:t>.</w:t>
      </w:r>
      <w:r>
        <w:rPr>
          <w:rStyle w:val="19"/>
          <w:rFonts w:ascii="仿宋" w:hAnsi="仿宋" w:eastAsia="仿宋" w:cs="仿宋_GB2312"/>
        </w:rPr>
        <w:t>2</w:t>
      </w:r>
      <w:r>
        <w:rPr>
          <w:rStyle w:val="19"/>
          <w:rFonts w:ascii="仿宋" w:hAnsi="仿宋" w:eastAsia="仿宋" w:cs="仿宋_GB2312"/>
          <w:lang w:eastAsia="zh-CN"/>
        </w:rPr>
        <w:t>.</w:t>
      </w:r>
      <w:r>
        <w:rPr>
          <w:rStyle w:val="19"/>
          <w:rFonts w:ascii="仿宋" w:hAnsi="仿宋" w:eastAsia="仿宋" w:cs="仿宋_GB2312"/>
        </w:rPr>
        <w:t>3技能竞赛</w:t>
      </w:r>
      <w:r>
        <w:tab/>
      </w:r>
      <w:r>
        <w:fldChar w:fldCharType="begin"/>
      </w:r>
      <w:r>
        <w:instrText xml:space="preserve"> PAGEREF _Toc66798302 \h </w:instrText>
      </w:r>
      <w:r>
        <w:fldChar w:fldCharType="separate"/>
      </w:r>
      <w:r>
        <w:t>17</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"_Toc66798303" </w:instrText>
      </w:r>
      <w:r>
        <w:fldChar w:fldCharType="separate"/>
      </w:r>
      <w:r>
        <w:rPr>
          <w:rStyle w:val="19"/>
          <w:rFonts w:ascii="仿宋" w:hAnsi="仿宋" w:eastAsia="仿宋" w:cs="楷体"/>
        </w:rPr>
        <w:t>3</w:t>
      </w:r>
      <w:r>
        <w:rPr>
          <w:rStyle w:val="19"/>
          <w:rFonts w:ascii="仿宋" w:hAnsi="仿宋" w:eastAsia="仿宋" w:cs="楷体"/>
          <w:lang w:eastAsia="zh-CN"/>
        </w:rPr>
        <w:t>.</w:t>
      </w:r>
      <w:r>
        <w:rPr>
          <w:rStyle w:val="19"/>
          <w:rFonts w:ascii="仿宋" w:hAnsi="仿宋" w:eastAsia="仿宋" w:cs="楷体"/>
        </w:rPr>
        <w:t>3落实教师编制，教师培养培训情况</w:t>
      </w:r>
      <w:r>
        <w:tab/>
      </w:r>
      <w:r>
        <w:fldChar w:fldCharType="begin"/>
      </w:r>
      <w:r>
        <w:instrText xml:space="preserve"> PAGEREF _Toc66798303 \h </w:instrText>
      </w:r>
      <w:r>
        <w:fldChar w:fldCharType="separate"/>
      </w:r>
      <w:r>
        <w:t>18</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"_Toc66798304" </w:instrText>
      </w:r>
      <w:r>
        <w:fldChar w:fldCharType="separate"/>
      </w:r>
      <w:r>
        <w:rPr>
          <w:rStyle w:val="19"/>
          <w:rFonts w:ascii="仿宋" w:hAnsi="仿宋" w:eastAsia="仿宋" w:cs="仿宋_GB2312"/>
        </w:rPr>
        <w:t>4</w:t>
      </w:r>
      <w:r>
        <w:rPr>
          <w:rStyle w:val="19"/>
          <w:rFonts w:ascii="仿宋" w:hAnsi="仿宋" w:eastAsia="仿宋" w:cs="仿宋_GB2312"/>
          <w:lang w:eastAsia="zh-CN"/>
        </w:rPr>
        <w:t>.</w:t>
      </w:r>
      <w:r>
        <w:rPr>
          <w:rStyle w:val="19"/>
          <w:rFonts w:ascii="仿宋" w:hAnsi="仿宋" w:eastAsia="仿宋" w:cs="仿宋_GB2312"/>
        </w:rPr>
        <w:t>校企合作</w:t>
      </w:r>
      <w:r>
        <w:tab/>
      </w:r>
      <w:r>
        <w:fldChar w:fldCharType="begin"/>
      </w:r>
      <w:r>
        <w:instrText xml:space="preserve"> PAGEREF _Toc66798304 \h </w:instrText>
      </w:r>
      <w:r>
        <w:fldChar w:fldCharType="separate"/>
      </w:r>
      <w:r>
        <w:t>18</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"_Toc66798305" </w:instrText>
      </w:r>
      <w:r>
        <w:fldChar w:fldCharType="separate"/>
      </w:r>
      <w:r>
        <w:rPr>
          <w:rStyle w:val="19"/>
          <w:rFonts w:ascii="仿宋" w:hAnsi="仿宋" w:eastAsia="仿宋" w:cs="仿宋_GB2312"/>
        </w:rPr>
        <w:t>4</w:t>
      </w:r>
      <w:r>
        <w:rPr>
          <w:rStyle w:val="19"/>
          <w:rFonts w:ascii="仿宋" w:hAnsi="仿宋" w:eastAsia="仿宋" w:cs="仿宋_GB2312"/>
          <w:lang w:eastAsia="zh-CN"/>
        </w:rPr>
        <w:t>.</w:t>
      </w:r>
      <w:r>
        <w:rPr>
          <w:rStyle w:val="19"/>
          <w:rFonts w:ascii="仿宋" w:hAnsi="仿宋" w:eastAsia="仿宋" w:cs="仿宋_GB2312"/>
        </w:rPr>
        <w:t>1校企合作开展情况和效果</w:t>
      </w:r>
      <w:r>
        <w:tab/>
      </w:r>
      <w:r>
        <w:fldChar w:fldCharType="begin"/>
      </w:r>
      <w:r>
        <w:instrText xml:space="preserve"> PAGEREF _Toc66798305 \h </w:instrText>
      </w:r>
      <w:r>
        <w:fldChar w:fldCharType="separate"/>
      </w:r>
      <w:r>
        <w:t>18</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"_Toc66798306" </w:instrText>
      </w:r>
      <w:r>
        <w:fldChar w:fldCharType="separate"/>
      </w:r>
      <w:r>
        <w:rPr>
          <w:rStyle w:val="19"/>
          <w:rFonts w:ascii="仿宋" w:hAnsi="仿宋" w:eastAsia="仿宋" w:cs="仿宋_GB2312"/>
        </w:rPr>
        <w:t>4</w:t>
      </w:r>
      <w:r>
        <w:rPr>
          <w:rStyle w:val="19"/>
          <w:rFonts w:ascii="仿宋" w:hAnsi="仿宋" w:eastAsia="仿宋" w:cs="仿宋_GB2312"/>
          <w:lang w:eastAsia="zh-CN"/>
        </w:rPr>
        <w:t>.</w:t>
      </w:r>
      <w:r>
        <w:rPr>
          <w:rStyle w:val="19"/>
          <w:rFonts w:ascii="仿宋" w:hAnsi="仿宋" w:eastAsia="仿宋" w:cs="仿宋_GB2312"/>
        </w:rPr>
        <w:t>2学生实习情况</w:t>
      </w:r>
      <w:r>
        <w:tab/>
      </w:r>
      <w:r>
        <w:fldChar w:fldCharType="begin"/>
      </w:r>
      <w:r>
        <w:instrText xml:space="preserve"> PAGEREF _Toc66798306 \h </w:instrText>
      </w:r>
      <w:r>
        <w:fldChar w:fldCharType="separate"/>
      </w:r>
      <w:r>
        <w:t>20</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"_Toc66798307" </w:instrText>
      </w:r>
      <w:r>
        <w:fldChar w:fldCharType="separate"/>
      </w:r>
      <w:r>
        <w:rPr>
          <w:rStyle w:val="19"/>
          <w:rFonts w:ascii="仿宋" w:hAnsi="仿宋" w:eastAsia="仿宋" w:cs="楷体"/>
        </w:rPr>
        <w:t>4</w:t>
      </w:r>
      <w:r>
        <w:rPr>
          <w:rStyle w:val="19"/>
          <w:rFonts w:ascii="仿宋" w:hAnsi="仿宋" w:eastAsia="仿宋" w:cs="楷体"/>
          <w:lang w:eastAsia="zh-CN"/>
        </w:rPr>
        <w:t>.</w:t>
      </w:r>
      <w:r>
        <w:rPr>
          <w:rStyle w:val="19"/>
          <w:rFonts w:ascii="仿宋" w:hAnsi="仿宋" w:eastAsia="仿宋" w:cs="楷体"/>
        </w:rPr>
        <w:t>3集团化办学情况</w:t>
      </w:r>
      <w:r>
        <w:tab/>
      </w:r>
      <w:r>
        <w:fldChar w:fldCharType="begin"/>
      </w:r>
      <w:r>
        <w:instrText xml:space="preserve"> PAGEREF _Toc66798307 \h </w:instrText>
      </w:r>
      <w:r>
        <w:fldChar w:fldCharType="separate"/>
      </w:r>
      <w:r>
        <w:t>21</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"_Toc66798308" </w:instrText>
      </w:r>
      <w:r>
        <w:fldChar w:fldCharType="separate"/>
      </w:r>
      <w:r>
        <w:rPr>
          <w:rStyle w:val="19"/>
          <w:rFonts w:ascii="仿宋" w:hAnsi="仿宋" w:eastAsia="仿宋" w:cs="仿宋_GB2312"/>
        </w:rPr>
        <w:t>5</w:t>
      </w:r>
      <w:r>
        <w:rPr>
          <w:rStyle w:val="19"/>
          <w:rFonts w:ascii="仿宋" w:hAnsi="仿宋" w:eastAsia="仿宋" w:cs="仿宋_GB2312"/>
          <w:lang w:eastAsia="zh-CN"/>
        </w:rPr>
        <w:t>.</w:t>
      </w:r>
      <w:r>
        <w:rPr>
          <w:rStyle w:val="19"/>
          <w:rFonts w:ascii="仿宋" w:hAnsi="仿宋" w:eastAsia="仿宋" w:cs="仿宋_GB2312"/>
        </w:rPr>
        <w:t>社会贡献</w:t>
      </w:r>
      <w:r>
        <w:tab/>
      </w:r>
      <w:r>
        <w:fldChar w:fldCharType="begin"/>
      </w:r>
      <w:r>
        <w:instrText xml:space="preserve"> PAGEREF _Toc66798308 \h </w:instrText>
      </w:r>
      <w:r>
        <w:fldChar w:fldCharType="separate"/>
      </w:r>
      <w:r>
        <w:t>21</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"_Toc66798309" </w:instrText>
      </w:r>
      <w:r>
        <w:fldChar w:fldCharType="separate"/>
      </w:r>
      <w:r>
        <w:rPr>
          <w:rStyle w:val="19"/>
          <w:rFonts w:ascii="仿宋" w:hAnsi="仿宋" w:eastAsia="仿宋" w:cs="仿宋_GB2312"/>
        </w:rPr>
        <w:t>5</w:t>
      </w:r>
      <w:r>
        <w:rPr>
          <w:rStyle w:val="19"/>
          <w:rFonts w:ascii="仿宋" w:hAnsi="仿宋" w:eastAsia="仿宋" w:cs="仿宋_GB2312"/>
          <w:lang w:eastAsia="zh-CN"/>
        </w:rPr>
        <w:t>.</w:t>
      </w:r>
      <w:r>
        <w:rPr>
          <w:rStyle w:val="19"/>
          <w:rFonts w:ascii="仿宋" w:hAnsi="仿宋" w:eastAsia="仿宋" w:cs="仿宋_GB2312"/>
        </w:rPr>
        <w:t>1技术技能人才培养</w:t>
      </w:r>
      <w:r>
        <w:tab/>
      </w:r>
      <w:r>
        <w:fldChar w:fldCharType="begin"/>
      </w:r>
      <w:r>
        <w:instrText xml:space="preserve"> PAGEREF _Toc66798309 \h </w:instrText>
      </w:r>
      <w:r>
        <w:fldChar w:fldCharType="separate"/>
      </w:r>
      <w:r>
        <w:t>21</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"_Toc66798310" </w:instrText>
      </w:r>
      <w:r>
        <w:fldChar w:fldCharType="separate"/>
      </w:r>
      <w:r>
        <w:rPr>
          <w:rStyle w:val="19"/>
          <w:rFonts w:ascii="仿宋" w:hAnsi="仿宋" w:eastAsia="仿宋" w:cs="楷体"/>
        </w:rPr>
        <w:t>5</w:t>
      </w:r>
      <w:r>
        <w:rPr>
          <w:rStyle w:val="19"/>
          <w:rFonts w:ascii="仿宋" w:hAnsi="仿宋" w:eastAsia="仿宋" w:cs="楷体"/>
          <w:lang w:eastAsia="zh-CN"/>
        </w:rPr>
        <w:t>.</w:t>
      </w:r>
      <w:r>
        <w:rPr>
          <w:rStyle w:val="19"/>
          <w:rFonts w:ascii="仿宋" w:hAnsi="仿宋" w:eastAsia="仿宋" w:cs="楷体"/>
        </w:rPr>
        <w:t>2社会服务</w:t>
      </w:r>
      <w:r>
        <w:tab/>
      </w:r>
      <w:r>
        <w:fldChar w:fldCharType="begin"/>
      </w:r>
      <w:r>
        <w:instrText xml:space="preserve"> PAGEREF _Toc66798310 \h </w:instrText>
      </w:r>
      <w:r>
        <w:fldChar w:fldCharType="separate"/>
      </w:r>
      <w:r>
        <w:t>23</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"_Toc66798311" </w:instrText>
      </w:r>
      <w:r>
        <w:fldChar w:fldCharType="separate"/>
      </w:r>
      <w:r>
        <w:rPr>
          <w:rStyle w:val="19"/>
          <w:rFonts w:ascii="仿宋" w:hAnsi="仿宋" w:eastAsia="仿宋" w:cs="仿宋_GB2312"/>
        </w:rPr>
        <w:t>5</w:t>
      </w:r>
      <w:r>
        <w:rPr>
          <w:rStyle w:val="19"/>
          <w:rFonts w:ascii="仿宋" w:hAnsi="仿宋" w:eastAsia="仿宋" w:cs="仿宋_GB2312"/>
          <w:lang w:eastAsia="zh-CN"/>
        </w:rPr>
        <w:t>.</w:t>
      </w:r>
      <w:r>
        <w:rPr>
          <w:rStyle w:val="19"/>
          <w:rFonts w:ascii="仿宋" w:hAnsi="仿宋" w:eastAsia="仿宋" w:cs="仿宋_GB2312"/>
        </w:rPr>
        <w:t>2</w:t>
      </w:r>
      <w:r>
        <w:rPr>
          <w:rStyle w:val="19"/>
          <w:rFonts w:ascii="仿宋" w:hAnsi="仿宋" w:eastAsia="仿宋" w:cs="仿宋_GB2312"/>
          <w:lang w:eastAsia="zh-CN"/>
        </w:rPr>
        <w:t>.</w:t>
      </w:r>
      <w:r>
        <w:rPr>
          <w:rStyle w:val="19"/>
          <w:rFonts w:ascii="仿宋" w:hAnsi="仿宋" w:eastAsia="仿宋" w:cs="仿宋_GB2312"/>
        </w:rPr>
        <w:t>1培训服务</w:t>
      </w:r>
      <w:r>
        <w:tab/>
      </w:r>
      <w:r>
        <w:fldChar w:fldCharType="begin"/>
      </w:r>
      <w:r>
        <w:instrText xml:space="preserve"> PAGEREF _Toc66798311 \h </w:instrText>
      </w:r>
      <w:r>
        <w:fldChar w:fldCharType="separate"/>
      </w:r>
      <w:r>
        <w:t>23</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"_Toc66798312" </w:instrText>
      </w:r>
      <w:r>
        <w:fldChar w:fldCharType="separate"/>
      </w:r>
      <w:r>
        <w:rPr>
          <w:rStyle w:val="19"/>
          <w:rFonts w:ascii="仿宋" w:hAnsi="仿宋" w:eastAsia="仿宋" w:cs="仿宋_GB2312"/>
        </w:rPr>
        <w:t>5</w:t>
      </w:r>
      <w:r>
        <w:rPr>
          <w:rStyle w:val="19"/>
          <w:rFonts w:ascii="仿宋" w:hAnsi="仿宋" w:eastAsia="仿宋" w:cs="仿宋_GB2312"/>
          <w:lang w:eastAsia="zh-CN"/>
        </w:rPr>
        <w:t>.</w:t>
      </w:r>
      <w:r>
        <w:rPr>
          <w:rStyle w:val="19"/>
          <w:rFonts w:ascii="仿宋" w:hAnsi="仿宋" w:eastAsia="仿宋" w:cs="仿宋_GB2312"/>
        </w:rPr>
        <w:t>2</w:t>
      </w:r>
      <w:r>
        <w:rPr>
          <w:rStyle w:val="19"/>
          <w:rFonts w:ascii="仿宋" w:hAnsi="仿宋" w:eastAsia="仿宋" w:cs="仿宋_GB2312"/>
          <w:lang w:eastAsia="zh-CN"/>
        </w:rPr>
        <w:t>.</w:t>
      </w:r>
      <w:r>
        <w:rPr>
          <w:rStyle w:val="19"/>
          <w:rFonts w:ascii="仿宋" w:hAnsi="仿宋" w:eastAsia="仿宋" w:cs="仿宋_GB2312"/>
        </w:rPr>
        <w:t>2技术服务</w:t>
      </w:r>
      <w:r>
        <w:tab/>
      </w:r>
      <w:r>
        <w:fldChar w:fldCharType="begin"/>
      </w:r>
      <w:r>
        <w:instrText xml:space="preserve"> PAGEREF _Toc66798312 \h </w:instrText>
      </w:r>
      <w:r>
        <w:fldChar w:fldCharType="separate"/>
      </w:r>
      <w:r>
        <w:t>23</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"_Toc66798313" </w:instrText>
      </w:r>
      <w:r>
        <w:fldChar w:fldCharType="separate"/>
      </w:r>
      <w:r>
        <w:rPr>
          <w:rStyle w:val="19"/>
          <w:rFonts w:ascii="仿宋" w:hAnsi="仿宋" w:eastAsia="仿宋" w:cs="仿宋_GB2312"/>
        </w:rPr>
        <w:t>5</w:t>
      </w:r>
      <w:r>
        <w:rPr>
          <w:rStyle w:val="19"/>
          <w:rFonts w:ascii="仿宋" w:hAnsi="仿宋" w:eastAsia="仿宋" w:cs="仿宋_GB2312"/>
          <w:lang w:eastAsia="zh-CN"/>
        </w:rPr>
        <w:t>.</w:t>
      </w:r>
      <w:r>
        <w:rPr>
          <w:rStyle w:val="19"/>
          <w:rFonts w:ascii="仿宋" w:hAnsi="仿宋" w:eastAsia="仿宋" w:cs="仿宋_GB2312"/>
        </w:rPr>
        <w:t>2</w:t>
      </w:r>
      <w:r>
        <w:rPr>
          <w:rStyle w:val="19"/>
          <w:rFonts w:ascii="仿宋" w:hAnsi="仿宋" w:eastAsia="仿宋" w:cs="仿宋_GB2312"/>
          <w:lang w:eastAsia="zh-CN"/>
        </w:rPr>
        <w:t>.</w:t>
      </w:r>
      <w:r>
        <w:rPr>
          <w:rStyle w:val="19"/>
          <w:rFonts w:ascii="仿宋" w:hAnsi="仿宋" w:eastAsia="仿宋" w:cs="仿宋_GB2312"/>
        </w:rPr>
        <w:t>3文化传承</w:t>
      </w:r>
      <w:r>
        <w:tab/>
      </w:r>
      <w:r>
        <w:fldChar w:fldCharType="begin"/>
      </w:r>
      <w:r>
        <w:instrText xml:space="preserve"> PAGEREF _Toc66798313 \h </w:instrText>
      </w:r>
      <w:r>
        <w:fldChar w:fldCharType="separate"/>
      </w:r>
      <w:r>
        <w:t>23</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"_Toc66798314" </w:instrText>
      </w:r>
      <w:r>
        <w:fldChar w:fldCharType="separate"/>
      </w:r>
      <w:r>
        <w:rPr>
          <w:rStyle w:val="19"/>
          <w:rFonts w:ascii="仿宋" w:hAnsi="仿宋" w:eastAsia="仿宋" w:cs="楷体"/>
        </w:rPr>
        <w:t>5</w:t>
      </w:r>
      <w:r>
        <w:rPr>
          <w:rStyle w:val="19"/>
          <w:rFonts w:ascii="仿宋" w:hAnsi="仿宋" w:eastAsia="仿宋" w:cs="楷体"/>
          <w:lang w:eastAsia="zh-CN"/>
        </w:rPr>
        <w:t>.</w:t>
      </w:r>
      <w:r>
        <w:rPr>
          <w:rStyle w:val="19"/>
          <w:rFonts w:ascii="仿宋" w:hAnsi="仿宋" w:eastAsia="仿宋" w:cs="楷体"/>
        </w:rPr>
        <w:t>3对口支援</w:t>
      </w:r>
      <w:r>
        <w:tab/>
      </w:r>
      <w:r>
        <w:fldChar w:fldCharType="begin"/>
      </w:r>
      <w:r>
        <w:instrText xml:space="preserve"> PAGEREF _Toc66798314 \h </w:instrText>
      </w:r>
      <w:r>
        <w:fldChar w:fldCharType="separate"/>
      </w:r>
      <w:r>
        <w:t>24</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"_Toc66798315" </w:instrText>
      </w:r>
      <w:r>
        <w:fldChar w:fldCharType="separate"/>
      </w:r>
      <w:r>
        <w:rPr>
          <w:rStyle w:val="19"/>
          <w:rFonts w:ascii="仿宋" w:hAnsi="仿宋" w:eastAsia="仿宋" w:cs="楷体"/>
        </w:rPr>
        <w:t>5</w:t>
      </w:r>
      <w:r>
        <w:rPr>
          <w:rStyle w:val="19"/>
          <w:rFonts w:ascii="仿宋" w:hAnsi="仿宋" w:eastAsia="仿宋" w:cs="楷体"/>
          <w:lang w:eastAsia="zh-CN"/>
        </w:rPr>
        <w:t>.</w:t>
      </w:r>
      <w:r>
        <w:rPr>
          <w:rStyle w:val="19"/>
          <w:rFonts w:ascii="仿宋" w:hAnsi="仿宋" w:eastAsia="仿宋" w:cs="楷体"/>
        </w:rPr>
        <w:t>3</w:t>
      </w:r>
      <w:r>
        <w:rPr>
          <w:rStyle w:val="19"/>
          <w:rFonts w:ascii="仿宋" w:hAnsi="仿宋" w:eastAsia="仿宋" w:cs="楷体"/>
          <w:lang w:eastAsia="zh-CN"/>
        </w:rPr>
        <w:t>.</w:t>
      </w:r>
      <w:r>
        <w:rPr>
          <w:rStyle w:val="19"/>
          <w:rFonts w:ascii="仿宋" w:hAnsi="仿宋" w:eastAsia="仿宋" w:cs="楷体"/>
        </w:rPr>
        <w:t>1东西部对口帮扶</w:t>
      </w:r>
      <w:r>
        <w:tab/>
      </w:r>
      <w:r>
        <w:fldChar w:fldCharType="begin"/>
      </w:r>
      <w:r>
        <w:instrText xml:space="preserve"> PAGEREF _Toc66798315 \h </w:instrText>
      </w:r>
      <w:r>
        <w:fldChar w:fldCharType="separate"/>
      </w:r>
      <w:r>
        <w:t>24</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"_Toc66798316" </w:instrText>
      </w:r>
      <w:r>
        <w:fldChar w:fldCharType="separate"/>
      </w:r>
      <w:r>
        <w:rPr>
          <w:rStyle w:val="19"/>
          <w:rFonts w:ascii="仿宋" w:hAnsi="仿宋" w:eastAsia="仿宋" w:cs="楷体"/>
        </w:rPr>
        <w:t>5</w:t>
      </w:r>
      <w:r>
        <w:rPr>
          <w:rStyle w:val="19"/>
          <w:rFonts w:ascii="仿宋" w:hAnsi="仿宋" w:eastAsia="仿宋" w:cs="楷体"/>
          <w:lang w:eastAsia="zh-CN"/>
        </w:rPr>
        <w:t>.</w:t>
      </w:r>
      <w:r>
        <w:rPr>
          <w:rStyle w:val="19"/>
          <w:rFonts w:ascii="仿宋" w:hAnsi="仿宋" w:eastAsia="仿宋" w:cs="楷体"/>
        </w:rPr>
        <w:t>3</w:t>
      </w:r>
      <w:r>
        <w:rPr>
          <w:rStyle w:val="19"/>
          <w:rFonts w:ascii="仿宋" w:hAnsi="仿宋" w:eastAsia="仿宋" w:cs="楷体"/>
          <w:lang w:eastAsia="zh-CN"/>
        </w:rPr>
        <w:t>.</w:t>
      </w:r>
      <w:r>
        <w:rPr>
          <w:rStyle w:val="19"/>
          <w:rFonts w:ascii="仿宋" w:hAnsi="仿宋" w:eastAsia="仿宋" w:cs="楷体"/>
        </w:rPr>
        <w:t>2省内对口扶贫</w:t>
      </w:r>
      <w:r>
        <w:tab/>
      </w:r>
      <w:r>
        <w:fldChar w:fldCharType="begin"/>
      </w:r>
      <w:r>
        <w:instrText xml:space="preserve"> PAGEREF _Toc66798316 \h </w:instrText>
      </w:r>
      <w:r>
        <w:fldChar w:fldCharType="separate"/>
      </w:r>
      <w:r>
        <w:t>24</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"_Toc66798317" </w:instrText>
      </w:r>
      <w:r>
        <w:fldChar w:fldCharType="separate"/>
      </w:r>
      <w:r>
        <w:rPr>
          <w:rStyle w:val="19"/>
          <w:rFonts w:ascii="仿宋" w:hAnsi="仿宋" w:eastAsia="仿宋" w:cs="仿宋_GB2312"/>
        </w:rPr>
        <w:t>5</w:t>
      </w:r>
      <w:r>
        <w:rPr>
          <w:rStyle w:val="19"/>
          <w:rFonts w:ascii="仿宋" w:hAnsi="仿宋" w:eastAsia="仿宋" w:cs="仿宋_GB2312"/>
          <w:lang w:eastAsia="zh-CN"/>
        </w:rPr>
        <w:t>.4服务抗疫</w:t>
      </w:r>
      <w:r>
        <w:tab/>
      </w:r>
      <w:r>
        <w:fldChar w:fldCharType="begin"/>
      </w:r>
      <w:r>
        <w:instrText xml:space="preserve"> PAGEREF _Toc66798317 \h </w:instrText>
      </w:r>
      <w:r>
        <w:fldChar w:fldCharType="separate"/>
      </w:r>
      <w:r>
        <w:t>24</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"_Toc66798318" </w:instrText>
      </w:r>
      <w:r>
        <w:fldChar w:fldCharType="separate"/>
      </w:r>
      <w:r>
        <w:rPr>
          <w:rStyle w:val="19"/>
          <w:rFonts w:ascii="仿宋" w:hAnsi="仿宋" w:eastAsia="仿宋" w:cs="黑体"/>
        </w:rPr>
        <w:t>6</w:t>
      </w:r>
      <w:r>
        <w:rPr>
          <w:rStyle w:val="19"/>
          <w:rFonts w:ascii="仿宋" w:hAnsi="仿宋" w:eastAsia="仿宋" w:cs="黑体"/>
          <w:lang w:eastAsia="zh-CN"/>
        </w:rPr>
        <w:t>.</w:t>
      </w:r>
      <w:r>
        <w:rPr>
          <w:rStyle w:val="19"/>
          <w:rFonts w:ascii="仿宋" w:hAnsi="仿宋" w:eastAsia="仿宋" w:cs="黑体"/>
        </w:rPr>
        <w:t>政府履责</w:t>
      </w:r>
      <w:r>
        <w:tab/>
      </w:r>
      <w:r>
        <w:fldChar w:fldCharType="begin"/>
      </w:r>
      <w:r>
        <w:instrText xml:space="preserve"> PAGEREF _Toc66798318 \h </w:instrText>
      </w:r>
      <w:r>
        <w:fldChar w:fldCharType="separate"/>
      </w:r>
      <w:r>
        <w:t>26</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"_Toc66798319" </w:instrText>
      </w:r>
      <w:r>
        <w:fldChar w:fldCharType="separate"/>
      </w:r>
      <w:r>
        <w:rPr>
          <w:rStyle w:val="19"/>
          <w:rFonts w:ascii="仿宋" w:hAnsi="仿宋" w:eastAsia="仿宋" w:cs="楷体"/>
        </w:rPr>
        <w:t>6</w:t>
      </w:r>
      <w:r>
        <w:rPr>
          <w:rStyle w:val="19"/>
          <w:rFonts w:ascii="仿宋" w:hAnsi="仿宋" w:eastAsia="仿宋" w:cs="楷体"/>
          <w:lang w:eastAsia="zh-CN"/>
        </w:rPr>
        <w:t>.</w:t>
      </w:r>
      <w:r>
        <w:rPr>
          <w:rStyle w:val="19"/>
          <w:rFonts w:ascii="仿宋" w:hAnsi="仿宋" w:eastAsia="仿宋" w:cs="楷体"/>
        </w:rPr>
        <w:t>1经费</w:t>
      </w:r>
      <w:r>
        <w:tab/>
      </w:r>
      <w:r>
        <w:fldChar w:fldCharType="begin"/>
      </w:r>
      <w:r>
        <w:instrText xml:space="preserve"> PAGEREF _Toc66798319 \h </w:instrText>
      </w:r>
      <w:r>
        <w:fldChar w:fldCharType="separate"/>
      </w:r>
      <w:r>
        <w:t>26</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"_Toc66798320" </w:instrText>
      </w:r>
      <w:r>
        <w:fldChar w:fldCharType="separate"/>
      </w:r>
      <w:r>
        <w:rPr>
          <w:rStyle w:val="19"/>
          <w:rFonts w:ascii="仿宋" w:hAnsi="仿宋" w:eastAsia="仿宋" w:cs="楷体"/>
        </w:rPr>
        <w:t>6</w:t>
      </w:r>
      <w:r>
        <w:rPr>
          <w:rStyle w:val="19"/>
          <w:rFonts w:ascii="仿宋" w:hAnsi="仿宋" w:eastAsia="仿宋" w:cs="楷体"/>
          <w:lang w:eastAsia="zh-CN"/>
        </w:rPr>
        <w:t>.</w:t>
      </w:r>
      <w:r>
        <w:rPr>
          <w:rStyle w:val="19"/>
          <w:rFonts w:ascii="仿宋" w:hAnsi="仿宋" w:eastAsia="仿宋" w:cs="楷体"/>
        </w:rPr>
        <w:t>2政策措施</w:t>
      </w:r>
      <w:r>
        <w:tab/>
      </w:r>
      <w:r>
        <w:fldChar w:fldCharType="begin"/>
      </w:r>
      <w:r>
        <w:instrText xml:space="preserve"> PAGEREF _Toc66798320 \h </w:instrText>
      </w:r>
      <w:r>
        <w:fldChar w:fldCharType="separate"/>
      </w:r>
      <w:r>
        <w:t>26</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"_Toc66798321" </w:instrText>
      </w:r>
      <w:r>
        <w:fldChar w:fldCharType="separate"/>
      </w:r>
      <w:r>
        <w:rPr>
          <w:rStyle w:val="19"/>
          <w:rFonts w:ascii="仿宋" w:hAnsi="仿宋" w:eastAsia="仿宋" w:cs="黑体"/>
        </w:rPr>
        <w:t>7</w:t>
      </w:r>
      <w:r>
        <w:rPr>
          <w:rStyle w:val="19"/>
          <w:rFonts w:ascii="仿宋" w:hAnsi="仿宋" w:eastAsia="仿宋" w:cs="黑体"/>
          <w:lang w:eastAsia="zh-CN"/>
        </w:rPr>
        <w:t>.</w:t>
      </w:r>
      <w:r>
        <w:rPr>
          <w:rStyle w:val="19"/>
          <w:rFonts w:ascii="仿宋" w:hAnsi="仿宋" w:eastAsia="仿宋" w:cs="黑体"/>
        </w:rPr>
        <w:t>特色创新</w:t>
      </w:r>
      <w:r>
        <w:tab/>
      </w:r>
      <w:r>
        <w:fldChar w:fldCharType="begin"/>
      </w:r>
      <w:r>
        <w:instrText xml:space="preserve"> PAGEREF _Toc66798321 \h </w:instrText>
      </w:r>
      <w:r>
        <w:fldChar w:fldCharType="separate"/>
      </w:r>
      <w:r>
        <w:t>33</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"_Toc66798322" </w:instrText>
      </w:r>
      <w:r>
        <w:fldChar w:fldCharType="separate"/>
      </w:r>
      <w:r>
        <w:rPr>
          <w:rStyle w:val="19"/>
          <w:rFonts w:ascii="仿宋" w:hAnsi="仿宋" w:eastAsia="仿宋"/>
          <w:lang w:eastAsia="zh-CN"/>
        </w:rPr>
        <w:t>7.1【案例分享1】</w:t>
      </w:r>
      <w:r>
        <w:rPr>
          <w:rStyle w:val="19"/>
          <w:rFonts w:ascii="仿宋" w:hAnsi="仿宋" w:eastAsia="仿宋" w:cs="Times New Roman"/>
          <w:shd w:val="clear" w:color="auto" w:fill="FFFFFF"/>
          <w:lang w:bidi="ar"/>
        </w:rPr>
        <w:t>大同</w:t>
      </w:r>
      <w:r>
        <w:rPr>
          <w:rStyle w:val="19"/>
          <w:rFonts w:ascii="仿宋" w:hAnsi="仿宋" w:eastAsia="仿宋" w:cs="Times New Roman"/>
          <w:shd w:val="clear" w:color="auto" w:fill="FFFFFF"/>
          <w:lang w:eastAsia="zh-CN" w:bidi="ar"/>
        </w:rPr>
        <w:t>市卫生学校</w:t>
      </w:r>
      <w:r>
        <w:tab/>
      </w:r>
      <w:r>
        <w:fldChar w:fldCharType="begin"/>
      </w:r>
      <w:r>
        <w:instrText xml:space="preserve"> PAGEREF _Toc66798322 \h </w:instrText>
      </w:r>
      <w:r>
        <w:fldChar w:fldCharType="separate"/>
      </w:r>
      <w:r>
        <w:t>33</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"_Toc66798323" </w:instrText>
      </w:r>
      <w:r>
        <w:fldChar w:fldCharType="separate"/>
      </w:r>
      <w:r>
        <w:rPr>
          <w:rStyle w:val="19"/>
          <w:rFonts w:ascii="仿宋" w:hAnsi="仿宋" w:eastAsia="仿宋"/>
          <w:lang w:eastAsia="zh-CN"/>
        </w:rPr>
        <w:t>7.2【案例分享2】大同市第二高级职业中学校</w:t>
      </w:r>
      <w:r>
        <w:tab/>
      </w:r>
      <w:r>
        <w:fldChar w:fldCharType="begin"/>
      </w:r>
      <w:r>
        <w:instrText xml:space="preserve"> PAGEREF _Toc66798323 \h </w:instrText>
      </w:r>
      <w:r>
        <w:fldChar w:fldCharType="separate"/>
      </w:r>
      <w:r>
        <w:t>39</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"_Toc66798324" </w:instrText>
      </w:r>
      <w:r>
        <w:fldChar w:fldCharType="separate"/>
      </w:r>
      <w:r>
        <w:rPr>
          <w:rStyle w:val="19"/>
          <w:rFonts w:ascii="仿宋" w:hAnsi="仿宋" w:eastAsia="仿宋"/>
          <w:lang w:eastAsia="zh-CN"/>
        </w:rPr>
        <w:t>7.3【案例分享3】大同市第一高级职业中学校</w:t>
      </w:r>
      <w:r>
        <w:tab/>
      </w:r>
      <w:r>
        <w:fldChar w:fldCharType="begin"/>
      </w:r>
      <w:r>
        <w:instrText xml:space="preserve"> PAGEREF _Toc66798324 \h </w:instrText>
      </w:r>
      <w:r>
        <w:fldChar w:fldCharType="separate"/>
      </w:r>
      <w:r>
        <w:t>56</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"_Toc66798325" </w:instrText>
      </w:r>
      <w:r>
        <w:fldChar w:fldCharType="separate"/>
      </w:r>
      <w:r>
        <w:rPr>
          <w:rStyle w:val="19"/>
          <w:rFonts w:ascii="仿宋" w:hAnsi="仿宋" w:eastAsia="仿宋" w:cs="黑体"/>
        </w:rPr>
        <w:t>8</w:t>
      </w:r>
      <w:r>
        <w:rPr>
          <w:rStyle w:val="19"/>
          <w:rFonts w:ascii="仿宋" w:hAnsi="仿宋" w:eastAsia="仿宋" w:cs="黑体"/>
          <w:lang w:eastAsia="zh-CN"/>
        </w:rPr>
        <w:t>.</w:t>
      </w:r>
      <w:r>
        <w:rPr>
          <w:rStyle w:val="19"/>
          <w:rFonts w:ascii="仿宋" w:hAnsi="仿宋" w:eastAsia="仿宋" w:cs="黑体"/>
        </w:rPr>
        <w:t>学校党建工作情况</w:t>
      </w:r>
      <w:r>
        <w:tab/>
      </w:r>
      <w:r>
        <w:fldChar w:fldCharType="begin"/>
      </w:r>
      <w:r>
        <w:instrText xml:space="preserve"> PAGEREF _Toc66798325 \h </w:instrText>
      </w:r>
      <w:r>
        <w:fldChar w:fldCharType="separate"/>
      </w:r>
      <w:r>
        <w:t>63</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"_Toc66798326" </w:instrText>
      </w:r>
      <w:r>
        <w:fldChar w:fldCharType="separate"/>
      </w:r>
      <w:r>
        <w:rPr>
          <w:rStyle w:val="19"/>
          <w:rFonts w:ascii="仿宋" w:hAnsi="仿宋" w:eastAsia="仿宋" w:cs="黑体"/>
        </w:rPr>
        <w:t>9</w:t>
      </w:r>
      <w:r>
        <w:rPr>
          <w:rStyle w:val="19"/>
          <w:rFonts w:ascii="仿宋" w:hAnsi="仿宋" w:eastAsia="仿宋" w:cs="黑体"/>
          <w:lang w:eastAsia="zh-CN"/>
        </w:rPr>
        <w:t>.</w:t>
      </w:r>
      <w:r>
        <w:rPr>
          <w:rStyle w:val="19"/>
          <w:rFonts w:ascii="仿宋" w:hAnsi="仿宋" w:eastAsia="仿宋" w:cs="黑体"/>
        </w:rPr>
        <w:t>1主要问题</w:t>
      </w:r>
      <w:r>
        <w:tab/>
      </w:r>
      <w:r>
        <w:fldChar w:fldCharType="begin"/>
      </w:r>
      <w:r>
        <w:instrText xml:space="preserve"> PAGEREF _Toc66798326 \h </w:instrText>
      </w:r>
      <w:r>
        <w:fldChar w:fldCharType="separate"/>
      </w:r>
      <w:r>
        <w:t>66</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"_Toc66798327" </w:instrText>
      </w:r>
      <w:r>
        <w:fldChar w:fldCharType="separate"/>
      </w:r>
      <w:r>
        <w:rPr>
          <w:rStyle w:val="19"/>
          <w:rFonts w:ascii="仿宋" w:hAnsi="仿宋" w:eastAsia="仿宋" w:cs="黑体"/>
        </w:rPr>
        <w:t>9</w:t>
      </w:r>
      <w:r>
        <w:rPr>
          <w:rStyle w:val="19"/>
          <w:rFonts w:ascii="仿宋" w:hAnsi="仿宋" w:eastAsia="仿宋" w:cs="黑体"/>
          <w:lang w:eastAsia="zh-CN"/>
        </w:rPr>
        <w:t>.</w:t>
      </w:r>
      <w:r>
        <w:rPr>
          <w:rStyle w:val="19"/>
          <w:rFonts w:ascii="仿宋" w:hAnsi="仿宋" w:eastAsia="仿宋" w:cs="黑体"/>
        </w:rPr>
        <w:t>1</w:t>
      </w:r>
      <w:r>
        <w:rPr>
          <w:rStyle w:val="19"/>
          <w:rFonts w:ascii="仿宋" w:hAnsi="仿宋" w:eastAsia="仿宋" w:cs="黑体"/>
          <w:lang w:eastAsia="zh-CN"/>
        </w:rPr>
        <w:t>.</w:t>
      </w:r>
      <w:r>
        <w:rPr>
          <w:rStyle w:val="19"/>
          <w:rFonts w:ascii="仿宋" w:hAnsi="仿宋" w:eastAsia="仿宋" w:cs="黑体"/>
        </w:rPr>
        <w:t>1职业教育发展不均衡，“小、散、弱”问题突出</w:t>
      </w:r>
      <w:r>
        <w:tab/>
      </w:r>
      <w:r>
        <w:fldChar w:fldCharType="begin"/>
      </w:r>
      <w:r>
        <w:instrText xml:space="preserve"> PAGEREF _Toc66798327 \h </w:instrText>
      </w:r>
      <w:r>
        <w:fldChar w:fldCharType="separate"/>
      </w:r>
      <w:r>
        <w:t>66</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"_Toc66798328" </w:instrText>
      </w:r>
      <w:r>
        <w:fldChar w:fldCharType="separate"/>
      </w:r>
      <w:r>
        <w:rPr>
          <w:rStyle w:val="19"/>
          <w:rFonts w:ascii="仿宋" w:hAnsi="仿宋" w:eastAsia="仿宋" w:cs="黑体"/>
        </w:rPr>
        <w:t>9</w:t>
      </w:r>
      <w:r>
        <w:rPr>
          <w:rStyle w:val="19"/>
          <w:rFonts w:ascii="仿宋" w:hAnsi="仿宋" w:eastAsia="仿宋" w:cs="黑体"/>
          <w:lang w:eastAsia="zh-CN"/>
        </w:rPr>
        <w:t>.</w:t>
      </w:r>
      <w:r>
        <w:rPr>
          <w:rStyle w:val="19"/>
          <w:rFonts w:ascii="仿宋" w:hAnsi="仿宋" w:eastAsia="仿宋" w:cs="黑体"/>
        </w:rPr>
        <w:t>1</w:t>
      </w:r>
      <w:r>
        <w:rPr>
          <w:rStyle w:val="19"/>
          <w:rFonts w:ascii="仿宋" w:hAnsi="仿宋" w:eastAsia="仿宋" w:cs="黑体"/>
          <w:lang w:eastAsia="zh-CN"/>
        </w:rPr>
        <w:t>.</w:t>
      </w:r>
      <w:r>
        <w:rPr>
          <w:rStyle w:val="19"/>
          <w:rFonts w:ascii="仿宋" w:hAnsi="仿宋" w:eastAsia="仿宋" w:cs="黑体"/>
        </w:rPr>
        <w:t>2现代职业教育体系不完善，中职学校分布集中且招生情况不理想</w:t>
      </w:r>
      <w:r>
        <w:tab/>
      </w:r>
      <w:r>
        <w:fldChar w:fldCharType="begin"/>
      </w:r>
      <w:r>
        <w:instrText xml:space="preserve"> PAGEREF _Toc66798328 \h </w:instrText>
      </w:r>
      <w:r>
        <w:fldChar w:fldCharType="separate"/>
      </w:r>
      <w:r>
        <w:t>67</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"_Toc66798329" </w:instrText>
      </w:r>
      <w:r>
        <w:fldChar w:fldCharType="separate"/>
      </w:r>
      <w:r>
        <w:rPr>
          <w:rStyle w:val="19"/>
          <w:rFonts w:ascii="仿宋" w:hAnsi="仿宋" w:eastAsia="仿宋" w:cs="黑体"/>
        </w:rPr>
        <w:t>9</w:t>
      </w:r>
      <w:r>
        <w:rPr>
          <w:rStyle w:val="19"/>
          <w:rFonts w:ascii="仿宋" w:hAnsi="仿宋" w:eastAsia="仿宋" w:cs="黑体"/>
          <w:lang w:eastAsia="zh-CN"/>
        </w:rPr>
        <w:t>.</w:t>
      </w:r>
      <w:r>
        <w:rPr>
          <w:rStyle w:val="19"/>
          <w:rFonts w:ascii="仿宋" w:hAnsi="仿宋" w:eastAsia="仿宋" w:cs="黑体"/>
        </w:rPr>
        <w:t>1</w:t>
      </w:r>
      <w:r>
        <w:rPr>
          <w:rStyle w:val="19"/>
          <w:rFonts w:ascii="仿宋" w:hAnsi="仿宋" w:eastAsia="仿宋" w:cs="黑体"/>
          <w:lang w:eastAsia="zh-CN"/>
        </w:rPr>
        <w:t>.</w:t>
      </w:r>
      <w:r>
        <w:rPr>
          <w:rStyle w:val="19"/>
          <w:rFonts w:ascii="仿宋" w:hAnsi="仿宋" w:eastAsia="仿宋" w:cs="黑体"/>
        </w:rPr>
        <w:t>3校企合作力度不够大，程度不够深入，职业学校服务经济转型发展滞后</w:t>
      </w:r>
      <w:r>
        <w:tab/>
      </w:r>
      <w:r>
        <w:fldChar w:fldCharType="begin"/>
      </w:r>
      <w:r>
        <w:instrText xml:space="preserve"> PAGEREF _Toc66798329 \h </w:instrText>
      </w:r>
      <w:r>
        <w:fldChar w:fldCharType="separate"/>
      </w:r>
      <w:r>
        <w:t>67</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"_Toc66798330" </w:instrText>
      </w:r>
      <w:r>
        <w:fldChar w:fldCharType="separate"/>
      </w:r>
      <w:r>
        <w:rPr>
          <w:rStyle w:val="19"/>
          <w:rFonts w:ascii="仿宋" w:hAnsi="仿宋" w:eastAsia="仿宋" w:cs="黑体"/>
        </w:rPr>
        <w:t>9</w:t>
      </w:r>
      <w:r>
        <w:rPr>
          <w:rStyle w:val="19"/>
          <w:rFonts w:ascii="仿宋" w:hAnsi="仿宋" w:eastAsia="仿宋" w:cs="黑体"/>
          <w:lang w:eastAsia="zh-CN"/>
        </w:rPr>
        <w:t>.</w:t>
      </w:r>
      <w:r>
        <w:rPr>
          <w:rStyle w:val="19"/>
          <w:rFonts w:ascii="仿宋" w:hAnsi="仿宋" w:eastAsia="仿宋" w:cs="黑体"/>
        </w:rPr>
        <w:t>2下一步工作思路和改进措施</w:t>
      </w:r>
      <w:r>
        <w:tab/>
      </w:r>
      <w:r>
        <w:fldChar w:fldCharType="begin"/>
      </w:r>
      <w:r>
        <w:instrText xml:space="preserve"> PAGEREF _Toc66798330 \h </w:instrText>
      </w:r>
      <w:r>
        <w:fldChar w:fldCharType="separate"/>
      </w:r>
      <w:r>
        <w:t>67</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"_Toc66798331" </w:instrText>
      </w:r>
      <w:r>
        <w:fldChar w:fldCharType="separate"/>
      </w:r>
      <w:r>
        <w:rPr>
          <w:rStyle w:val="19"/>
          <w:rFonts w:ascii="仿宋" w:hAnsi="仿宋" w:eastAsia="仿宋" w:cs="黑体"/>
        </w:rPr>
        <w:t>9</w:t>
      </w:r>
      <w:r>
        <w:rPr>
          <w:rStyle w:val="19"/>
          <w:rFonts w:ascii="仿宋" w:hAnsi="仿宋" w:eastAsia="仿宋" w:cs="黑体"/>
          <w:lang w:eastAsia="zh-CN"/>
        </w:rPr>
        <w:t>.</w:t>
      </w:r>
      <w:r>
        <w:rPr>
          <w:rStyle w:val="19"/>
          <w:rFonts w:ascii="仿宋" w:hAnsi="仿宋" w:eastAsia="仿宋" w:cs="黑体"/>
        </w:rPr>
        <w:t>2</w:t>
      </w:r>
      <w:r>
        <w:rPr>
          <w:rStyle w:val="19"/>
          <w:rFonts w:ascii="仿宋" w:hAnsi="仿宋" w:eastAsia="仿宋" w:cs="黑体"/>
          <w:lang w:eastAsia="zh-CN"/>
        </w:rPr>
        <w:t>.</w:t>
      </w:r>
      <w:r>
        <w:rPr>
          <w:rStyle w:val="19"/>
          <w:rFonts w:ascii="仿宋" w:hAnsi="仿宋" w:eastAsia="仿宋" w:cs="黑体"/>
        </w:rPr>
        <w:t>1加强政府对职业教育的统筹，把职业教育发展纳入区域经济社会发展规划，在体制机制改革上探索创新</w:t>
      </w:r>
      <w:r>
        <w:tab/>
      </w:r>
      <w:r>
        <w:fldChar w:fldCharType="begin"/>
      </w:r>
      <w:r>
        <w:instrText xml:space="preserve"> PAGEREF _Toc66798331 \h </w:instrText>
      </w:r>
      <w:r>
        <w:fldChar w:fldCharType="separate"/>
      </w:r>
      <w:r>
        <w:t>68</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"_Toc66798332" </w:instrText>
      </w:r>
      <w:r>
        <w:fldChar w:fldCharType="separate"/>
      </w:r>
      <w:r>
        <w:rPr>
          <w:rStyle w:val="19"/>
          <w:rFonts w:ascii="仿宋" w:hAnsi="仿宋" w:eastAsia="仿宋" w:cs="黑体"/>
        </w:rPr>
        <w:t>9</w:t>
      </w:r>
      <w:r>
        <w:rPr>
          <w:rStyle w:val="19"/>
          <w:rFonts w:ascii="仿宋" w:hAnsi="仿宋" w:eastAsia="仿宋" w:cs="黑体"/>
          <w:lang w:eastAsia="zh-CN"/>
        </w:rPr>
        <w:t>.</w:t>
      </w:r>
      <w:r>
        <w:rPr>
          <w:rStyle w:val="19"/>
          <w:rFonts w:ascii="仿宋" w:hAnsi="仿宋" w:eastAsia="仿宋" w:cs="黑体"/>
        </w:rPr>
        <w:t>2</w:t>
      </w:r>
      <w:r>
        <w:rPr>
          <w:rStyle w:val="19"/>
          <w:rFonts w:ascii="仿宋" w:hAnsi="仿宋" w:eastAsia="仿宋" w:cs="黑体"/>
          <w:lang w:eastAsia="zh-CN"/>
        </w:rPr>
        <w:t>.</w:t>
      </w:r>
      <w:r>
        <w:rPr>
          <w:rStyle w:val="19"/>
          <w:rFonts w:ascii="仿宋" w:hAnsi="仿宋" w:eastAsia="仿宋" w:cs="黑体"/>
        </w:rPr>
        <w:t>2以产业转型升级为引领，调整专业结构，提升职业教育服务经济社会发展的能力</w:t>
      </w:r>
      <w:r>
        <w:tab/>
      </w:r>
      <w:r>
        <w:fldChar w:fldCharType="begin"/>
      </w:r>
      <w:r>
        <w:instrText xml:space="preserve"> PAGEREF _Toc66798332 \h </w:instrText>
      </w:r>
      <w:r>
        <w:fldChar w:fldCharType="separate"/>
      </w:r>
      <w:r>
        <w:t>68</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"_Toc66798333" </w:instrText>
      </w:r>
      <w:r>
        <w:fldChar w:fldCharType="separate"/>
      </w:r>
      <w:r>
        <w:rPr>
          <w:rStyle w:val="19"/>
          <w:rFonts w:ascii="仿宋" w:hAnsi="仿宋" w:eastAsia="仿宋" w:cs="黑体"/>
        </w:rPr>
        <w:t>9</w:t>
      </w:r>
      <w:r>
        <w:rPr>
          <w:rStyle w:val="19"/>
          <w:rFonts w:ascii="仿宋" w:hAnsi="仿宋" w:eastAsia="仿宋" w:cs="黑体"/>
          <w:lang w:eastAsia="zh-CN"/>
        </w:rPr>
        <w:t>.</w:t>
      </w:r>
      <w:r>
        <w:rPr>
          <w:rStyle w:val="19"/>
          <w:rFonts w:ascii="仿宋" w:hAnsi="仿宋" w:eastAsia="仿宋" w:cs="黑体"/>
        </w:rPr>
        <w:t>2</w:t>
      </w:r>
      <w:r>
        <w:rPr>
          <w:rStyle w:val="19"/>
          <w:rFonts w:ascii="仿宋" w:hAnsi="仿宋" w:eastAsia="仿宋" w:cs="黑体"/>
          <w:lang w:eastAsia="zh-CN"/>
        </w:rPr>
        <w:t>.</w:t>
      </w:r>
      <w:r>
        <w:rPr>
          <w:rStyle w:val="19"/>
          <w:rFonts w:ascii="仿宋" w:hAnsi="仿宋" w:eastAsia="仿宋" w:cs="黑体"/>
        </w:rPr>
        <w:t>3以提升职业教育办学质量为目标，整合各类职教资源，合理调整职业学校布局</w:t>
      </w:r>
      <w:r>
        <w:tab/>
      </w:r>
      <w:r>
        <w:fldChar w:fldCharType="begin"/>
      </w:r>
      <w:r>
        <w:instrText xml:space="preserve"> PAGEREF _Toc66798333 \h </w:instrText>
      </w:r>
      <w:r>
        <w:fldChar w:fldCharType="separate"/>
      </w:r>
      <w:r>
        <w:t>69</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"_Toc66798334" </w:instrText>
      </w:r>
      <w:r>
        <w:fldChar w:fldCharType="separate"/>
      </w:r>
      <w:r>
        <w:rPr>
          <w:rStyle w:val="19"/>
          <w:rFonts w:ascii="仿宋" w:hAnsi="仿宋" w:eastAsia="仿宋" w:cs="黑体"/>
        </w:rPr>
        <w:t>9</w:t>
      </w:r>
      <w:r>
        <w:rPr>
          <w:rStyle w:val="19"/>
          <w:rFonts w:ascii="仿宋" w:hAnsi="仿宋" w:eastAsia="仿宋" w:cs="黑体"/>
          <w:lang w:eastAsia="zh-CN"/>
        </w:rPr>
        <w:t>.</w:t>
      </w:r>
      <w:r>
        <w:rPr>
          <w:rStyle w:val="19"/>
          <w:rFonts w:ascii="仿宋" w:hAnsi="仿宋" w:eastAsia="仿宋" w:cs="黑体"/>
        </w:rPr>
        <w:t>2</w:t>
      </w:r>
      <w:r>
        <w:rPr>
          <w:rStyle w:val="19"/>
          <w:rFonts w:ascii="仿宋" w:hAnsi="仿宋" w:eastAsia="仿宋" w:cs="黑体"/>
          <w:lang w:eastAsia="zh-CN"/>
        </w:rPr>
        <w:t>.</w:t>
      </w:r>
      <w:r>
        <w:rPr>
          <w:rStyle w:val="19"/>
          <w:rFonts w:ascii="仿宋" w:hAnsi="仿宋" w:eastAsia="仿宋" w:cs="黑体"/>
        </w:rPr>
        <w:t>4加强职业学校的内涵、特色建设，使职业教育发展取得实质性突破</w:t>
      </w:r>
      <w:r>
        <w:tab/>
      </w:r>
      <w:r>
        <w:fldChar w:fldCharType="begin"/>
      </w:r>
      <w:r>
        <w:instrText xml:space="preserve"> PAGEREF _Toc66798334 \h </w:instrText>
      </w:r>
      <w:r>
        <w:fldChar w:fldCharType="separate"/>
      </w:r>
      <w:r>
        <w:t>70</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"_Toc66798335" </w:instrText>
      </w:r>
      <w:r>
        <w:fldChar w:fldCharType="separate"/>
      </w:r>
      <w:r>
        <w:rPr>
          <w:rStyle w:val="19"/>
          <w:rFonts w:ascii="仿宋" w:hAnsi="仿宋" w:eastAsia="仿宋" w:cs="黑体"/>
        </w:rPr>
        <w:t>9</w:t>
      </w:r>
      <w:r>
        <w:rPr>
          <w:rStyle w:val="19"/>
          <w:rFonts w:ascii="仿宋" w:hAnsi="仿宋" w:eastAsia="仿宋" w:cs="黑体"/>
          <w:lang w:eastAsia="zh-CN"/>
        </w:rPr>
        <w:t>.</w:t>
      </w:r>
      <w:r>
        <w:rPr>
          <w:rStyle w:val="19"/>
          <w:rFonts w:ascii="仿宋" w:hAnsi="仿宋" w:eastAsia="仿宋" w:cs="黑体"/>
        </w:rPr>
        <w:t>2</w:t>
      </w:r>
      <w:r>
        <w:rPr>
          <w:rStyle w:val="19"/>
          <w:rFonts w:ascii="仿宋" w:hAnsi="仿宋" w:eastAsia="仿宋" w:cs="黑体"/>
          <w:lang w:eastAsia="zh-CN"/>
        </w:rPr>
        <w:t>.</w:t>
      </w:r>
      <w:r>
        <w:rPr>
          <w:rStyle w:val="19"/>
          <w:rFonts w:ascii="仿宋" w:hAnsi="仿宋" w:eastAsia="仿宋" w:cs="黑体"/>
        </w:rPr>
        <w:t>5根据产业需求，加强教师队伍建设，提升教师的职业素养</w:t>
      </w:r>
      <w:r>
        <w:tab/>
      </w:r>
      <w:r>
        <w:fldChar w:fldCharType="begin"/>
      </w:r>
      <w:r>
        <w:instrText xml:space="preserve"> PAGEREF _Toc66798335 \h </w:instrText>
      </w:r>
      <w:r>
        <w:fldChar w:fldCharType="separate"/>
      </w:r>
      <w:r>
        <w:t>70</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"_Toc66798336" </w:instrText>
      </w:r>
      <w:r>
        <w:fldChar w:fldCharType="separate"/>
      </w:r>
      <w:r>
        <w:rPr>
          <w:rStyle w:val="19"/>
          <w:rFonts w:ascii="仿宋" w:hAnsi="仿宋" w:eastAsia="仿宋" w:cs="黑体"/>
        </w:rPr>
        <w:t>9</w:t>
      </w:r>
      <w:r>
        <w:rPr>
          <w:rStyle w:val="19"/>
          <w:rFonts w:ascii="仿宋" w:hAnsi="仿宋" w:eastAsia="仿宋" w:cs="黑体"/>
          <w:lang w:eastAsia="zh-CN"/>
        </w:rPr>
        <w:t>.</w:t>
      </w:r>
      <w:r>
        <w:rPr>
          <w:rStyle w:val="19"/>
          <w:rFonts w:ascii="仿宋" w:hAnsi="仿宋" w:eastAsia="仿宋" w:cs="黑体"/>
        </w:rPr>
        <w:t>2</w:t>
      </w:r>
      <w:r>
        <w:rPr>
          <w:rStyle w:val="19"/>
          <w:rFonts w:ascii="仿宋" w:hAnsi="仿宋" w:eastAsia="仿宋" w:cs="黑体"/>
          <w:lang w:eastAsia="zh-CN"/>
        </w:rPr>
        <w:t>.</w:t>
      </w:r>
      <w:r>
        <w:rPr>
          <w:rStyle w:val="19"/>
          <w:rFonts w:ascii="仿宋" w:hAnsi="仿宋" w:eastAsia="仿宋" w:cs="黑体"/>
        </w:rPr>
        <w:t>6探索职高普高融通、中职高职应用型本科衔接的人才培养体系，满足经济社会发展对多层次人才的需求</w:t>
      </w:r>
      <w:r>
        <w:tab/>
      </w:r>
      <w:r>
        <w:fldChar w:fldCharType="begin"/>
      </w:r>
      <w:r>
        <w:instrText xml:space="preserve"> PAGEREF _Toc66798336 \h </w:instrText>
      </w:r>
      <w:r>
        <w:fldChar w:fldCharType="separate"/>
      </w:r>
      <w:r>
        <w:t>71</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"_Toc66798337" </w:instrText>
      </w:r>
      <w:r>
        <w:fldChar w:fldCharType="separate"/>
      </w:r>
      <w:r>
        <w:rPr>
          <w:rStyle w:val="19"/>
          <w:rFonts w:ascii="仿宋" w:hAnsi="仿宋" w:eastAsia="仿宋" w:cs="黑体"/>
        </w:rPr>
        <w:t>9</w:t>
      </w:r>
      <w:r>
        <w:rPr>
          <w:rStyle w:val="19"/>
          <w:rFonts w:ascii="仿宋" w:hAnsi="仿宋" w:eastAsia="仿宋" w:cs="黑体"/>
          <w:lang w:eastAsia="zh-CN"/>
        </w:rPr>
        <w:t>.</w:t>
      </w:r>
      <w:r>
        <w:rPr>
          <w:rStyle w:val="19"/>
          <w:rFonts w:ascii="仿宋" w:hAnsi="仿宋" w:eastAsia="仿宋" w:cs="黑体"/>
        </w:rPr>
        <w:t>2</w:t>
      </w:r>
      <w:r>
        <w:rPr>
          <w:rStyle w:val="19"/>
          <w:rFonts w:ascii="仿宋" w:hAnsi="仿宋" w:eastAsia="仿宋" w:cs="黑体"/>
          <w:lang w:eastAsia="zh-CN"/>
        </w:rPr>
        <w:t>.</w:t>
      </w:r>
      <w:r>
        <w:rPr>
          <w:rStyle w:val="19"/>
          <w:rFonts w:ascii="仿宋" w:hAnsi="仿宋" w:eastAsia="仿宋" w:cs="黑体"/>
        </w:rPr>
        <w:t>7着眼未来经济社会发展，加强对外交流合作，推动我市职业教育快速发展</w:t>
      </w:r>
      <w:r>
        <w:tab/>
      </w:r>
      <w:r>
        <w:fldChar w:fldCharType="begin"/>
      </w:r>
      <w:r>
        <w:instrText xml:space="preserve"> PAGEREF _Toc66798337 \h </w:instrText>
      </w:r>
      <w:r>
        <w:fldChar w:fldCharType="separate"/>
      </w:r>
      <w:r>
        <w:t>72</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"_Toc66798338" </w:instrText>
      </w:r>
      <w:r>
        <w:fldChar w:fldCharType="separate"/>
      </w:r>
      <w:r>
        <w:rPr>
          <w:rStyle w:val="19"/>
          <w:rFonts w:ascii="仿宋" w:hAnsi="仿宋" w:eastAsia="仿宋" w:cs="黑体"/>
        </w:rPr>
        <w:t>9</w:t>
      </w:r>
      <w:r>
        <w:rPr>
          <w:rStyle w:val="19"/>
          <w:rFonts w:ascii="仿宋" w:hAnsi="仿宋" w:eastAsia="仿宋" w:cs="黑体"/>
          <w:lang w:eastAsia="zh-CN"/>
        </w:rPr>
        <w:t>.</w:t>
      </w:r>
      <w:r>
        <w:rPr>
          <w:rStyle w:val="19"/>
          <w:rFonts w:ascii="仿宋" w:hAnsi="仿宋" w:eastAsia="仿宋" w:cs="黑体"/>
        </w:rPr>
        <w:t>2</w:t>
      </w:r>
      <w:r>
        <w:rPr>
          <w:rStyle w:val="19"/>
          <w:rFonts w:ascii="仿宋" w:hAnsi="仿宋" w:eastAsia="仿宋" w:cs="黑体"/>
          <w:lang w:eastAsia="zh-CN"/>
        </w:rPr>
        <w:t>.</w:t>
      </w:r>
      <w:r>
        <w:rPr>
          <w:rStyle w:val="19"/>
          <w:rFonts w:ascii="仿宋" w:hAnsi="仿宋" w:eastAsia="仿宋" w:cs="黑体"/>
        </w:rPr>
        <w:t>8采取切实有效措施，加大扶持力度，引导支持社会力量兴办职业教育</w:t>
      </w:r>
      <w:r>
        <w:tab/>
      </w:r>
      <w:r>
        <w:fldChar w:fldCharType="begin"/>
      </w:r>
      <w:r>
        <w:instrText xml:space="preserve"> PAGEREF _Toc66798338 \h </w:instrText>
      </w:r>
      <w:r>
        <w:fldChar w:fldCharType="separate"/>
      </w:r>
      <w:r>
        <w:t>72</w:t>
      </w:r>
      <w:r>
        <w:fldChar w:fldCharType="end"/>
      </w:r>
      <w:r>
        <w:fldChar w:fldCharType="end"/>
      </w:r>
    </w:p>
    <w:p>
      <w:pPr>
        <w:pStyle w:val="10"/>
        <w:tabs>
          <w:tab w:val="right" w:leader="dot" w:pos="8296"/>
        </w:tabs>
        <w:spacing w:line="300" w:lineRule="auto"/>
        <w:rPr>
          <w:rFonts w:asciiTheme="minorHAnsi" w:hAnsiTheme="minorHAnsi" w:eastAsiaTheme="minorEastAsia"/>
          <w:kern w:val="2"/>
          <w:sz w:val="21"/>
          <w:szCs w:val="22"/>
          <w:lang w:eastAsia="zh-CN"/>
        </w:rPr>
      </w:pPr>
      <w:r>
        <w:fldChar w:fldCharType="begin"/>
      </w:r>
      <w:r>
        <w:instrText xml:space="preserve"> HYPERLINK \l "_Toc66798339" </w:instrText>
      </w:r>
      <w:r>
        <w:fldChar w:fldCharType="separate"/>
      </w:r>
      <w:r>
        <w:rPr>
          <w:rStyle w:val="19"/>
          <w:rFonts w:ascii="仿宋" w:hAnsi="仿宋" w:eastAsia="仿宋" w:cs="黑体"/>
        </w:rPr>
        <w:t>9</w:t>
      </w:r>
      <w:r>
        <w:rPr>
          <w:rStyle w:val="19"/>
          <w:rFonts w:ascii="仿宋" w:hAnsi="仿宋" w:eastAsia="仿宋" w:cs="黑体"/>
          <w:lang w:eastAsia="zh-CN"/>
        </w:rPr>
        <w:t>.</w:t>
      </w:r>
      <w:r>
        <w:rPr>
          <w:rStyle w:val="19"/>
          <w:rFonts w:ascii="仿宋" w:hAnsi="仿宋" w:eastAsia="仿宋" w:cs="黑体"/>
        </w:rPr>
        <w:t>2</w:t>
      </w:r>
      <w:r>
        <w:rPr>
          <w:rStyle w:val="19"/>
          <w:rFonts w:ascii="仿宋" w:hAnsi="仿宋" w:eastAsia="仿宋" w:cs="黑体"/>
          <w:lang w:eastAsia="zh-CN"/>
        </w:rPr>
        <w:t>.</w:t>
      </w:r>
      <w:r>
        <w:rPr>
          <w:rStyle w:val="19"/>
          <w:rFonts w:ascii="仿宋" w:hAnsi="仿宋" w:eastAsia="仿宋" w:cs="黑体"/>
        </w:rPr>
        <w:t>9完善经费保障政策，确保职业教育的投入与职业教育的发展要求相适应</w:t>
      </w:r>
      <w:r>
        <w:tab/>
      </w:r>
      <w:r>
        <w:fldChar w:fldCharType="begin"/>
      </w:r>
      <w:r>
        <w:instrText xml:space="preserve"> PAGEREF _Toc66798339 \h </w:instrText>
      </w:r>
      <w:r>
        <w:fldChar w:fldCharType="separate"/>
      </w:r>
      <w:r>
        <w:t>73</w:t>
      </w:r>
      <w:r>
        <w:fldChar w:fldCharType="end"/>
      </w:r>
      <w:r>
        <w:fldChar w:fldCharType="end"/>
      </w:r>
    </w:p>
    <w:p>
      <w:pPr>
        <w:pStyle w:val="63"/>
        <w:spacing w:line="300" w:lineRule="auto"/>
        <w:rPr>
          <w:rFonts w:ascii="仿宋" w:hAnsi="仿宋" w:eastAsia="仿宋"/>
          <w:szCs w:val="28"/>
        </w:rPr>
        <w:sectPr>
          <w:pgSz w:w="11900" w:h="16840"/>
          <w:pgMar w:top="1440" w:right="1797" w:bottom="1440" w:left="1797" w:header="720" w:footer="720" w:gutter="0"/>
          <w:cols w:space="720" w:num="1"/>
        </w:sectPr>
      </w:pPr>
      <w:r>
        <w:rPr>
          <w:rFonts w:ascii="仿宋" w:hAnsi="仿宋" w:eastAsia="仿宋"/>
          <w:szCs w:val="28"/>
        </w:rPr>
        <w:fldChar w:fldCharType="end"/>
      </w:r>
    </w:p>
    <w:p>
      <w:pPr>
        <w:pStyle w:val="66"/>
        <w:tabs>
          <w:tab w:val="right" w:leader="dot" w:pos="8306"/>
        </w:tabs>
        <w:spacing w:line="360" w:lineRule="auto"/>
        <w:ind w:leftChars="0"/>
        <w:jc w:val="center"/>
        <w:rPr>
          <w:rFonts w:ascii="仿宋" w:hAnsi="仿宋" w:eastAsia="仿宋" w:cs="宋体"/>
          <w:b/>
          <w:bCs/>
          <w:sz w:val="44"/>
          <w:szCs w:val="44"/>
        </w:rPr>
      </w:pPr>
      <w:r>
        <w:rPr>
          <w:rFonts w:hint="eastAsia" w:ascii="仿宋" w:hAnsi="仿宋" w:eastAsia="仿宋" w:cs="宋体"/>
          <w:b/>
          <w:bCs/>
          <w:sz w:val="44"/>
          <w:szCs w:val="44"/>
        </w:rPr>
        <w:t>大同市2020年度</w:t>
      </w:r>
      <w:bookmarkStart w:id="0" w:name="_Toc27992"/>
      <w:bookmarkStart w:id="1" w:name="_Toc5358"/>
    </w:p>
    <w:p>
      <w:pPr>
        <w:pStyle w:val="66"/>
        <w:tabs>
          <w:tab w:val="right" w:leader="dot" w:pos="8306"/>
        </w:tabs>
        <w:spacing w:line="360" w:lineRule="auto"/>
        <w:ind w:leftChars="0"/>
        <w:jc w:val="center"/>
        <w:rPr>
          <w:rFonts w:ascii="仿宋" w:hAnsi="仿宋" w:eastAsia="仿宋" w:cs="宋体"/>
          <w:b/>
          <w:bCs/>
          <w:sz w:val="44"/>
          <w:szCs w:val="44"/>
        </w:rPr>
      </w:pPr>
      <w:r>
        <w:rPr>
          <w:rFonts w:hint="eastAsia" w:ascii="仿宋" w:hAnsi="仿宋" w:eastAsia="仿宋" w:cs="宋体"/>
          <w:b/>
          <w:bCs/>
          <w:sz w:val="44"/>
          <w:szCs w:val="44"/>
        </w:rPr>
        <w:t>中等职业教育质量报告</w:t>
      </w:r>
      <w:bookmarkEnd w:id="0"/>
      <w:bookmarkEnd w:id="1"/>
    </w:p>
    <w:p>
      <w:pPr>
        <w:pStyle w:val="4"/>
        <w:spacing w:before="0" w:after="0" w:line="360" w:lineRule="auto"/>
        <w:ind w:firstLine="560"/>
        <w:jc w:val="both"/>
        <w:rPr>
          <w:rFonts w:ascii="仿宋" w:hAnsi="仿宋" w:eastAsia="仿宋" w:cs="黑体"/>
          <w:bCs w:val="0"/>
          <w:sz w:val="28"/>
          <w:szCs w:val="28"/>
        </w:rPr>
      </w:pPr>
      <w:bookmarkStart w:id="2" w:name="_Toc66798287"/>
      <w:r>
        <w:rPr>
          <w:rFonts w:hint="eastAsia" w:ascii="仿宋" w:hAnsi="仿宋" w:eastAsia="仿宋" w:cs="黑体"/>
          <w:bCs w:val="0"/>
          <w:sz w:val="28"/>
          <w:szCs w:val="28"/>
        </w:rPr>
        <w:t>1．基本情况</w:t>
      </w:r>
      <w:bookmarkEnd w:id="2"/>
    </w:p>
    <w:p>
      <w:pPr>
        <w:pStyle w:val="4"/>
        <w:spacing w:before="0" w:after="0" w:line="360" w:lineRule="auto"/>
        <w:ind w:firstLine="560"/>
        <w:jc w:val="both"/>
        <w:rPr>
          <w:rFonts w:ascii="仿宋" w:hAnsi="仿宋" w:eastAsia="仿宋" w:cs="楷体"/>
          <w:bCs w:val="0"/>
          <w:sz w:val="28"/>
          <w:szCs w:val="28"/>
        </w:rPr>
      </w:pPr>
      <w:bookmarkStart w:id="3" w:name="_Toc66798288"/>
      <w:r>
        <w:rPr>
          <w:rFonts w:hint="eastAsia" w:ascii="仿宋" w:hAnsi="仿宋" w:eastAsia="仿宋" w:cs="楷体"/>
          <w:bCs w:val="0"/>
          <w:sz w:val="28"/>
          <w:szCs w:val="28"/>
        </w:rPr>
        <w:t>1</w:t>
      </w:r>
      <w:r>
        <w:rPr>
          <w:rFonts w:hint="eastAsia" w:ascii="仿宋" w:hAnsi="仿宋" w:eastAsia="仿宋" w:cs="楷体"/>
          <w:bCs w:val="0"/>
          <w:sz w:val="28"/>
          <w:szCs w:val="28"/>
          <w:lang w:eastAsia="zh-CN"/>
        </w:rPr>
        <w:t>.</w:t>
      </w:r>
      <w:r>
        <w:rPr>
          <w:rFonts w:hint="eastAsia" w:ascii="仿宋" w:hAnsi="仿宋" w:eastAsia="仿宋" w:cs="楷体"/>
          <w:bCs w:val="0"/>
          <w:sz w:val="28"/>
          <w:szCs w:val="28"/>
        </w:rPr>
        <w:t>1规模和结构</w:t>
      </w:r>
      <w:bookmarkEnd w:id="3"/>
    </w:p>
    <w:p>
      <w:pPr>
        <w:spacing w:line="360" w:lineRule="auto"/>
        <w:ind w:firstLine="560"/>
        <w:jc w:val="both"/>
        <w:rPr>
          <w:rFonts w:ascii="仿宋" w:hAnsi="仿宋" w:eastAsia="仿宋" w:cs="仿宋_GB2312"/>
          <w:sz w:val="28"/>
          <w:szCs w:val="28"/>
          <w:lang w:eastAsia="zh-CN"/>
        </w:rPr>
      </w:pPr>
      <w:r>
        <w:rPr>
          <w:rFonts w:hint="eastAsia" w:ascii="仿宋" w:hAnsi="仿宋" w:eastAsia="仿宋" w:cs="仿宋_GB2312"/>
          <w:sz w:val="28"/>
          <w:szCs w:val="28"/>
          <w:lang w:eastAsia="zh-CN"/>
        </w:rPr>
        <w:t>2020</w:t>
      </w:r>
      <w:r>
        <w:rPr>
          <w:rFonts w:hint="eastAsia" w:ascii="仿宋" w:hAnsi="仿宋" w:eastAsia="仿宋" w:cs="仿宋_GB2312"/>
          <w:sz w:val="28"/>
          <w:szCs w:val="28"/>
        </w:rPr>
        <w:t>年，大同市共有中等职业教育学校3</w:t>
      </w:r>
      <w:r>
        <w:rPr>
          <w:rFonts w:hint="eastAsia" w:ascii="仿宋" w:hAnsi="仿宋" w:eastAsia="仿宋" w:cs="仿宋_GB2312"/>
          <w:sz w:val="28"/>
          <w:szCs w:val="28"/>
          <w:lang w:eastAsia="zh-CN"/>
        </w:rPr>
        <w:t>4</w:t>
      </w:r>
      <w:r>
        <w:rPr>
          <w:rFonts w:hint="eastAsia" w:ascii="仿宋" w:hAnsi="仿宋" w:eastAsia="仿宋" w:cs="仿宋_GB2312"/>
          <w:sz w:val="28"/>
          <w:szCs w:val="28"/>
        </w:rPr>
        <w:t>所</w:t>
      </w:r>
      <w:r>
        <w:rPr>
          <w:rFonts w:hint="eastAsia" w:ascii="仿宋" w:hAnsi="仿宋" w:eastAsia="仿宋" w:cs="仿宋_GB2312"/>
          <w:sz w:val="28"/>
          <w:szCs w:val="28"/>
          <w:lang w:eastAsia="zh-CN"/>
        </w:rPr>
        <w:t>，与上年持平；</w:t>
      </w:r>
      <w:r>
        <w:rPr>
          <w:rFonts w:hint="eastAsia" w:ascii="仿宋" w:hAnsi="仿宋" w:eastAsia="仿宋" w:cs="仿宋_GB2312"/>
          <w:sz w:val="28"/>
          <w:szCs w:val="28"/>
        </w:rPr>
        <w:t>在校学生</w:t>
      </w:r>
      <w:r>
        <w:rPr>
          <w:rFonts w:hint="eastAsia" w:ascii="仿宋" w:hAnsi="仿宋" w:eastAsia="仿宋" w:cs="仿宋_GB2312"/>
          <w:sz w:val="28"/>
          <w:szCs w:val="28"/>
          <w:lang w:eastAsia="zh-CN"/>
        </w:rPr>
        <w:t>22863</w:t>
      </w:r>
      <w:r>
        <w:rPr>
          <w:rFonts w:hint="eastAsia" w:ascii="仿宋" w:hAnsi="仿宋" w:eastAsia="仿宋" w:cs="仿宋_GB2312"/>
          <w:sz w:val="28"/>
          <w:szCs w:val="28"/>
        </w:rPr>
        <w:t>人，比上年</w:t>
      </w:r>
      <w:r>
        <w:rPr>
          <w:rFonts w:hint="eastAsia" w:ascii="仿宋" w:hAnsi="仿宋" w:eastAsia="仿宋" w:cs="仿宋_GB2312"/>
          <w:sz w:val="28"/>
          <w:szCs w:val="28"/>
          <w:lang w:eastAsia="zh-CN"/>
        </w:rPr>
        <w:t>减少2957</w:t>
      </w:r>
      <w:r>
        <w:rPr>
          <w:rFonts w:hint="eastAsia" w:ascii="仿宋" w:hAnsi="仿宋" w:eastAsia="仿宋" w:cs="仿宋_GB2312"/>
          <w:sz w:val="28"/>
          <w:szCs w:val="28"/>
        </w:rPr>
        <w:t>人；</w:t>
      </w:r>
      <w:r>
        <w:rPr>
          <w:rFonts w:hint="eastAsia" w:ascii="仿宋" w:hAnsi="仿宋" w:eastAsia="仿宋" w:cs="仿宋_GB2312"/>
          <w:sz w:val="28"/>
          <w:szCs w:val="28"/>
          <w:lang w:eastAsia="zh-CN"/>
        </w:rPr>
        <w:t>当年</w:t>
      </w:r>
      <w:r>
        <w:rPr>
          <w:rFonts w:hint="eastAsia" w:ascii="仿宋" w:hAnsi="仿宋" w:eastAsia="仿宋" w:cs="仿宋_GB2312"/>
          <w:sz w:val="28"/>
          <w:szCs w:val="28"/>
        </w:rPr>
        <w:t>招生</w:t>
      </w:r>
      <w:r>
        <w:rPr>
          <w:rFonts w:hint="eastAsia" w:ascii="仿宋" w:hAnsi="仿宋" w:eastAsia="仿宋" w:cs="仿宋_GB2312"/>
          <w:sz w:val="28"/>
          <w:szCs w:val="28"/>
          <w:lang w:eastAsia="zh-CN"/>
        </w:rPr>
        <w:t>9165</w:t>
      </w:r>
      <w:r>
        <w:rPr>
          <w:rFonts w:hint="eastAsia" w:ascii="仿宋" w:hAnsi="仿宋" w:eastAsia="仿宋" w:cs="仿宋_GB2312"/>
          <w:sz w:val="28"/>
          <w:szCs w:val="28"/>
        </w:rPr>
        <w:t>人，比上年</w:t>
      </w:r>
      <w:r>
        <w:rPr>
          <w:rFonts w:hint="eastAsia" w:ascii="仿宋" w:hAnsi="仿宋" w:eastAsia="仿宋" w:cs="仿宋_GB2312"/>
          <w:sz w:val="28"/>
          <w:szCs w:val="28"/>
          <w:lang w:eastAsia="zh-CN"/>
        </w:rPr>
        <w:t>增加1567</w:t>
      </w:r>
      <w:r>
        <w:rPr>
          <w:rFonts w:hint="eastAsia" w:ascii="仿宋" w:hAnsi="仿宋" w:eastAsia="仿宋" w:cs="仿宋_GB2312"/>
          <w:sz w:val="28"/>
          <w:szCs w:val="28"/>
        </w:rPr>
        <w:t>人；</w:t>
      </w:r>
      <w:r>
        <w:rPr>
          <w:rFonts w:hint="eastAsia" w:ascii="仿宋" w:hAnsi="仿宋" w:eastAsia="仿宋" w:cs="仿宋_GB2312"/>
          <w:sz w:val="28"/>
          <w:szCs w:val="28"/>
          <w:lang w:eastAsia="zh-CN"/>
        </w:rPr>
        <w:t>毕业生7163人，比上年减少1468人。普通高中当年招生</w:t>
      </w:r>
      <w:r>
        <w:rPr>
          <w:rFonts w:hint="eastAsia" w:ascii="仿宋" w:hAnsi="仿宋" w:eastAsia="仿宋" w:cs="仿宋_GB2312"/>
          <w:sz w:val="28"/>
          <w:szCs w:val="28"/>
          <w:lang w:val="uk-UA"/>
        </w:rPr>
        <w:t>17584</w:t>
      </w:r>
      <w:r>
        <w:rPr>
          <w:rFonts w:hint="eastAsia" w:ascii="仿宋" w:hAnsi="仿宋" w:eastAsia="仿宋" w:cs="仿宋_GB2312"/>
          <w:sz w:val="28"/>
          <w:szCs w:val="28"/>
        </w:rPr>
        <w:t>人</w:t>
      </w:r>
      <w:r>
        <w:rPr>
          <w:rFonts w:hint="eastAsia" w:ascii="仿宋" w:hAnsi="仿宋" w:eastAsia="仿宋" w:cs="仿宋_GB2312"/>
          <w:sz w:val="28"/>
          <w:szCs w:val="28"/>
          <w:lang w:val="uk-UA"/>
        </w:rPr>
        <w:t>，</w:t>
      </w:r>
      <w:r>
        <w:rPr>
          <w:rFonts w:hint="eastAsia" w:ascii="仿宋" w:hAnsi="仿宋" w:eastAsia="仿宋" w:cs="仿宋_GB2312"/>
          <w:sz w:val="28"/>
          <w:szCs w:val="28"/>
          <w:lang w:eastAsia="zh-CN"/>
        </w:rPr>
        <w:t>高中阶段学校普职招生比例为6.5:3.5。</w:t>
      </w:r>
    </w:p>
    <w:p>
      <w:pPr>
        <w:spacing w:line="360" w:lineRule="auto"/>
        <w:ind w:firstLine="560"/>
        <w:jc w:val="both"/>
        <w:rPr>
          <w:rFonts w:ascii="仿宋" w:hAnsi="仿宋" w:eastAsia="仿宋" w:cs="仿宋_GB2312"/>
          <w:sz w:val="28"/>
          <w:szCs w:val="28"/>
          <w:lang w:eastAsia="zh-CN"/>
        </w:rPr>
      </w:pPr>
      <w:r>
        <w:rPr>
          <w:rFonts w:hint="eastAsia" w:ascii="仿宋" w:hAnsi="仿宋" w:eastAsia="仿宋" w:cs="仿宋_GB2312"/>
          <w:sz w:val="28"/>
          <w:szCs w:val="28"/>
          <w:lang w:eastAsia="zh-CN"/>
        </w:rPr>
        <w:t>从隶属关系看，</w:t>
      </w:r>
      <w:r>
        <w:rPr>
          <w:rFonts w:hint="eastAsia" w:ascii="仿宋" w:hAnsi="仿宋" w:eastAsia="仿宋" w:cs="仿宋_GB2312"/>
          <w:bCs/>
          <w:sz w:val="28"/>
          <w:szCs w:val="28"/>
          <w:lang w:eastAsia="zh-CN"/>
        </w:rPr>
        <w:t>省属中职学校1所，</w:t>
      </w:r>
      <w:r>
        <w:rPr>
          <w:rFonts w:hint="eastAsia" w:ascii="仿宋" w:hAnsi="仿宋" w:eastAsia="仿宋" w:cs="仿宋_GB2312"/>
          <w:sz w:val="28"/>
          <w:szCs w:val="28"/>
        </w:rPr>
        <w:t>在校学生</w:t>
      </w:r>
      <w:r>
        <w:rPr>
          <w:rFonts w:hint="eastAsia" w:ascii="仿宋" w:hAnsi="仿宋" w:eastAsia="仿宋" w:cs="仿宋_GB2312"/>
          <w:sz w:val="28"/>
          <w:szCs w:val="28"/>
          <w:lang w:eastAsia="zh-CN"/>
        </w:rPr>
        <w:t>452人</w:t>
      </w:r>
      <w:r>
        <w:rPr>
          <w:rFonts w:hint="eastAsia" w:ascii="仿宋" w:hAnsi="仿宋" w:eastAsia="仿宋" w:cs="仿宋_GB2312"/>
          <w:bCs/>
          <w:sz w:val="28"/>
          <w:szCs w:val="28"/>
          <w:lang w:eastAsia="zh-CN"/>
        </w:rPr>
        <w:t>；</w:t>
      </w:r>
      <w:r>
        <w:rPr>
          <w:rFonts w:hint="eastAsia" w:ascii="仿宋" w:hAnsi="仿宋" w:eastAsia="仿宋" w:cs="仿宋_GB2312"/>
          <w:sz w:val="28"/>
          <w:szCs w:val="28"/>
          <w:lang w:eastAsia="zh-CN"/>
        </w:rPr>
        <w:t>市属</w:t>
      </w:r>
      <w:r>
        <w:rPr>
          <w:rFonts w:hint="eastAsia" w:ascii="仿宋" w:hAnsi="仿宋" w:eastAsia="仿宋" w:cs="仿宋_GB2312"/>
          <w:sz w:val="28"/>
          <w:szCs w:val="28"/>
        </w:rPr>
        <w:t>中</w:t>
      </w:r>
      <w:r>
        <w:rPr>
          <w:rFonts w:hint="eastAsia" w:ascii="仿宋" w:hAnsi="仿宋" w:eastAsia="仿宋" w:cs="仿宋_GB2312"/>
          <w:sz w:val="28"/>
          <w:szCs w:val="28"/>
          <w:lang w:eastAsia="zh-CN"/>
        </w:rPr>
        <w:t>职</w:t>
      </w:r>
      <w:r>
        <w:rPr>
          <w:rFonts w:hint="eastAsia" w:ascii="仿宋" w:hAnsi="仿宋" w:eastAsia="仿宋" w:cs="仿宋_GB2312"/>
          <w:sz w:val="28"/>
          <w:szCs w:val="28"/>
        </w:rPr>
        <w:t>学校</w:t>
      </w:r>
      <w:r>
        <w:rPr>
          <w:rFonts w:hint="eastAsia" w:ascii="仿宋" w:hAnsi="仿宋" w:eastAsia="仿宋" w:cs="仿宋_GB2312"/>
          <w:sz w:val="28"/>
          <w:szCs w:val="28"/>
          <w:lang w:eastAsia="zh-CN"/>
        </w:rPr>
        <w:t>17</w:t>
      </w:r>
      <w:r>
        <w:rPr>
          <w:rFonts w:hint="eastAsia" w:ascii="仿宋" w:hAnsi="仿宋" w:eastAsia="仿宋" w:cs="仿宋_GB2312"/>
          <w:sz w:val="28"/>
          <w:szCs w:val="28"/>
        </w:rPr>
        <w:t>所</w:t>
      </w:r>
      <w:r>
        <w:rPr>
          <w:rFonts w:hint="eastAsia" w:ascii="仿宋" w:hAnsi="仿宋" w:eastAsia="仿宋" w:cs="仿宋_GB2312"/>
          <w:sz w:val="28"/>
          <w:szCs w:val="28"/>
          <w:lang w:eastAsia="zh-CN"/>
        </w:rPr>
        <w:t>，</w:t>
      </w:r>
      <w:r>
        <w:rPr>
          <w:rFonts w:hint="eastAsia" w:ascii="仿宋" w:hAnsi="仿宋" w:eastAsia="仿宋" w:cs="仿宋_GB2312"/>
          <w:sz w:val="28"/>
          <w:szCs w:val="28"/>
        </w:rPr>
        <w:t>在校学生</w:t>
      </w:r>
      <w:r>
        <w:rPr>
          <w:rFonts w:hint="eastAsia" w:ascii="仿宋" w:hAnsi="仿宋" w:eastAsia="仿宋" w:cs="仿宋_GB2312"/>
          <w:sz w:val="28"/>
          <w:szCs w:val="28"/>
          <w:lang w:eastAsia="zh-CN"/>
        </w:rPr>
        <w:t>14514人；县属</w:t>
      </w:r>
      <w:r>
        <w:rPr>
          <w:rFonts w:hint="eastAsia" w:ascii="仿宋" w:hAnsi="仿宋" w:eastAsia="仿宋" w:cs="仿宋_GB2312"/>
          <w:sz w:val="28"/>
          <w:szCs w:val="28"/>
        </w:rPr>
        <w:t>中</w:t>
      </w:r>
      <w:r>
        <w:rPr>
          <w:rFonts w:hint="eastAsia" w:ascii="仿宋" w:hAnsi="仿宋" w:eastAsia="仿宋" w:cs="仿宋_GB2312"/>
          <w:sz w:val="28"/>
          <w:szCs w:val="28"/>
          <w:lang w:eastAsia="zh-CN"/>
        </w:rPr>
        <w:t>职</w:t>
      </w:r>
      <w:r>
        <w:rPr>
          <w:rFonts w:hint="eastAsia" w:ascii="仿宋" w:hAnsi="仿宋" w:eastAsia="仿宋" w:cs="仿宋_GB2312"/>
          <w:sz w:val="28"/>
          <w:szCs w:val="28"/>
        </w:rPr>
        <w:t>学校</w:t>
      </w:r>
      <w:r>
        <w:rPr>
          <w:rFonts w:hint="eastAsia" w:ascii="仿宋" w:hAnsi="仿宋" w:eastAsia="仿宋" w:cs="仿宋_GB2312"/>
          <w:sz w:val="28"/>
          <w:szCs w:val="28"/>
          <w:lang w:eastAsia="zh-CN"/>
        </w:rPr>
        <w:t>16</w:t>
      </w:r>
      <w:r>
        <w:rPr>
          <w:rFonts w:hint="eastAsia" w:ascii="仿宋" w:hAnsi="仿宋" w:eastAsia="仿宋" w:cs="仿宋_GB2312"/>
          <w:sz w:val="28"/>
          <w:szCs w:val="28"/>
        </w:rPr>
        <w:t>所</w:t>
      </w:r>
      <w:r>
        <w:rPr>
          <w:rFonts w:hint="eastAsia" w:ascii="仿宋" w:hAnsi="仿宋" w:eastAsia="仿宋" w:cs="仿宋_GB2312"/>
          <w:sz w:val="28"/>
          <w:szCs w:val="28"/>
          <w:lang w:eastAsia="zh-CN"/>
        </w:rPr>
        <w:t>，</w:t>
      </w:r>
      <w:r>
        <w:rPr>
          <w:rFonts w:hint="eastAsia" w:ascii="仿宋" w:hAnsi="仿宋" w:eastAsia="仿宋" w:cs="仿宋_GB2312"/>
          <w:sz w:val="28"/>
          <w:szCs w:val="28"/>
        </w:rPr>
        <w:t>在校学生</w:t>
      </w:r>
      <w:r>
        <w:rPr>
          <w:rFonts w:hint="eastAsia" w:ascii="仿宋" w:hAnsi="仿宋" w:eastAsia="仿宋" w:cs="仿宋_GB2312"/>
          <w:sz w:val="28"/>
          <w:szCs w:val="28"/>
          <w:lang w:eastAsia="zh-CN"/>
        </w:rPr>
        <w:t>7897人。</w:t>
      </w:r>
    </w:p>
    <w:p>
      <w:pPr>
        <w:widowControl w:val="0"/>
        <w:spacing w:line="360" w:lineRule="auto"/>
        <w:ind w:firstLine="645"/>
        <w:jc w:val="both"/>
        <w:rPr>
          <w:rFonts w:ascii="仿宋" w:hAnsi="仿宋" w:eastAsia="仿宋" w:cs="仿宋_GB2312"/>
          <w:color w:val="0000FF"/>
          <w:sz w:val="28"/>
          <w:szCs w:val="28"/>
          <w:lang w:eastAsia="zh-CN"/>
        </w:rPr>
      </w:pPr>
      <w:r>
        <w:rPr>
          <w:rFonts w:hint="eastAsia" w:ascii="仿宋" w:hAnsi="仿宋" w:eastAsia="仿宋" w:cs="仿宋_GB2312"/>
          <w:sz w:val="28"/>
          <w:szCs w:val="28"/>
          <w:lang w:eastAsia="zh-CN"/>
        </w:rPr>
        <w:t>从办学性质看，公办学校27所，</w:t>
      </w:r>
      <w:r>
        <w:rPr>
          <w:rFonts w:hint="eastAsia" w:ascii="仿宋" w:hAnsi="仿宋" w:eastAsia="仿宋" w:cs="仿宋_GB2312"/>
          <w:sz w:val="28"/>
          <w:szCs w:val="28"/>
        </w:rPr>
        <w:t>在校学生</w:t>
      </w:r>
      <w:r>
        <w:rPr>
          <w:rFonts w:hint="eastAsia" w:ascii="仿宋" w:hAnsi="仿宋" w:eastAsia="仿宋" w:cs="仿宋_GB2312"/>
          <w:sz w:val="28"/>
          <w:szCs w:val="28"/>
          <w:lang w:eastAsia="zh-CN"/>
        </w:rPr>
        <w:t>18690人；民办学校7所，</w:t>
      </w:r>
      <w:r>
        <w:rPr>
          <w:rFonts w:hint="eastAsia" w:ascii="仿宋" w:hAnsi="仿宋" w:eastAsia="仿宋" w:cs="仿宋_GB2312"/>
          <w:sz w:val="28"/>
          <w:szCs w:val="28"/>
        </w:rPr>
        <w:t>在校学生</w:t>
      </w:r>
      <w:r>
        <w:rPr>
          <w:rFonts w:hint="eastAsia" w:ascii="仿宋" w:hAnsi="仿宋" w:eastAsia="仿宋" w:cs="仿宋_GB2312"/>
          <w:sz w:val="28"/>
          <w:szCs w:val="28"/>
          <w:lang w:eastAsia="zh-CN"/>
        </w:rPr>
        <w:t>4173人。</w:t>
      </w:r>
    </w:p>
    <w:p>
      <w:pPr>
        <w:widowControl w:val="0"/>
        <w:spacing w:line="360" w:lineRule="auto"/>
        <w:jc w:val="center"/>
        <w:rPr>
          <w:rFonts w:ascii="仿宋" w:hAnsi="仿宋" w:eastAsia="仿宋" w:cs="仿宋_GB2312"/>
          <w:color w:val="0000FF"/>
          <w:sz w:val="28"/>
          <w:szCs w:val="28"/>
          <w:lang w:eastAsia="zh-CN"/>
        </w:rPr>
      </w:pPr>
      <w:r>
        <w:rPr>
          <w:rFonts w:hint="eastAsia" w:ascii="仿宋" w:hAnsi="仿宋" w:eastAsia="仿宋" w:cs="仿宋_GB2312"/>
          <w:b/>
          <w:bCs/>
          <w:lang w:eastAsia="zh-CN"/>
        </w:rPr>
        <w:t>表一：201</w:t>
      </w:r>
      <w:r>
        <w:rPr>
          <w:rFonts w:ascii="仿宋" w:hAnsi="仿宋" w:eastAsia="仿宋" w:cs="仿宋_GB2312"/>
          <w:b/>
          <w:bCs/>
          <w:lang w:eastAsia="zh-CN"/>
        </w:rPr>
        <w:t>8</w:t>
      </w:r>
      <w:r>
        <w:rPr>
          <w:rFonts w:hint="eastAsia" w:ascii="仿宋" w:hAnsi="仿宋" w:eastAsia="仿宋" w:cs="仿宋_GB2312"/>
          <w:b/>
          <w:bCs/>
          <w:lang w:eastAsia="zh-CN"/>
        </w:rPr>
        <w:t>-2020年大同市中等职业学校办学规模数据表</w:t>
      </w:r>
    </w:p>
    <w:tbl>
      <w:tblPr>
        <w:tblStyle w:val="13"/>
        <w:tblW w:w="8736" w:type="dxa"/>
        <w:jc w:val="center"/>
        <w:tblLayout w:type="autofit"/>
        <w:tblCellMar>
          <w:top w:w="0" w:type="dxa"/>
          <w:left w:w="108" w:type="dxa"/>
          <w:bottom w:w="0" w:type="dxa"/>
          <w:right w:w="108" w:type="dxa"/>
        </w:tblCellMar>
      </w:tblPr>
      <w:tblGrid>
        <w:gridCol w:w="1369"/>
        <w:gridCol w:w="1540"/>
        <w:gridCol w:w="1748"/>
        <w:gridCol w:w="1604"/>
        <w:gridCol w:w="1310"/>
        <w:gridCol w:w="1165"/>
      </w:tblGrid>
      <w:tr>
        <w:tblPrEx>
          <w:tblCellMar>
            <w:top w:w="0" w:type="dxa"/>
            <w:left w:w="108" w:type="dxa"/>
            <w:bottom w:w="0" w:type="dxa"/>
            <w:right w:w="108" w:type="dxa"/>
          </w:tblCellMar>
        </w:tblPrEx>
        <w:trPr>
          <w:trHeight w:val="1073" w:hRule="atLeast"/>
          <w:jc w:val="center"/>
        </w:trPr>
        <w:tc>
          <w:tcPr>
            <w:tcW w:w="1369" w:type="dxa"/>
            <w:tcBorders>
              <w:top w:val="single" w:color="auto" w:sz="4" w:space="0"/>
              <w:left w:val="single" w:color="auto" w:sz="4" w:space="0"/>
              <w:bottom w:val="single" w:color="auto" w:sz="4" w:space="0"/>
              <w:right w:val="single" w:color="auto" w:sz="4" w:space="0"/>
              <w:tl2br w:val="single" w:color="auto" w:sz="8" w:space="0"/>
            </w:tcBorders>
            <w:shd w:val="clear" w:color="auto" w:fill="auto"/>
            <w:vAlign w:val="center"/>
          </w:tcPr>
          <w:p>
            <w:pPr>
              <w:jc w:val="right"/>
              <w:rPr>
                <w:rFonts w:ascii="仿宋" w:hAnsi="仿宋" w:eastAsia="仿宋" w:cs="宋体"/>
                <w:b/>
                <w:bCs/>
                <w:color w:val="000000"/>
                <w:sz w:val="21"/>
                <w:szCs w:val="21"/>
                <w:lang w:eastAsia="zh-CN"/>
              </w:rPr>
            </w:pPr>
            <w:r>
              <w:rPr>
                <w:rFonts w:hint="eastAsia" w:ascii="仿宋" w:hAnsi="仿宋" w:eastAsia="仿宋" w:cs="宋体"/>
                <w:b/>
                <w:bCs/>
                <w:color w:val="000000"/>
                <w:sz w:val="21"/>
                <w:szCs w:val="21"/>
                <w:lang w:eastAsia="zh-CN"/>
              </w:rPr>
              <w:t>项目</w:t>
            </w:r>
          </w:p>
          <w:p>
            <w:pPr>
              <w:rPr>
                <w:rFonts w:ascii="仿宋" w:hAnsi="仿宋" w:eastAsia="仿宋" w:cs="宋体"/>
                <w:b/>
                <w:bCs/>
                <w:color w:val="000000"/>
                <w:sz w:val="21"/>
                <w:szCs w:val="21"/>
                <w:lang w:eastAsia="zh-CN"/>
              </w:rPr>
            </w:pPr>
            <w:r>
              <w:rPr>
                <w:rFonts w:hint="eastAsia" w:ascii="仿宋" w:hAnsi="仿宋" w:eastAsia="仿宋" w:cs="宋体"/>
                <w:b/>
                <w:bCs/>
                <w:color w:val="000000"/>
                <w:sz w:val="21"/>
                <w:szCs w:val="21"/>
                <w:lang w:eastAsia="zh-CN"/>
              </w:rPr>
              <w:t>年份</w:t>
            </w:r>
          </w:p>
        </w:tc>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b/>
                <w:bCs/>
                <w:color w:val="000000"/>
                <w:sz w:val="21"/>
                <w:szCs w:val="21"/>
                <w:lang w:eastAsia="zh-CN"/>
              </w:rPr>
            </w:pPr>
            <w:r>
              <w:rPr>
                <w:rFonts w:hint="eastAsia" w:ascii="仿宋" w:hAnsi="仿宋" w:eastAsia="仿宋" w:cs="宋体"/>
                <w:b/>
                <w:bCs/>
                <w:color w:val="000000"/>
                <w:sz w:val="21"/>
                <w:szCs w:val="21"/>
                <w:lang w:eastAsia="zh-CN"/>
              </w:rPr>
              <w:t>学校数（所）</w:t>
            </w:r>
          </w:p>
        </w:tc>
        <w:tc>
          <w:tcPr>
            <w:tcW w:w="17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b/>
                <w:bCs/>
                <w:color w:val="000000"/>
                <w:sz w:val="21"/>
                <w:szCs w:val="21"/>
                <w:lang w:eastAsia="zh-CN"/>
              </w:rPr>
            </w:pPr>
            <w:r>
              <w:rPr>
                <w:rFonts w:hint="eastAsia" w:ascii="仿宋" w:hAnsi="仿宋" w:eastAsia="仿宋" w:cs="宋体"/>
                <w:b/>
                <w:bCs/>
                <w:color w:val="000000"/>
                <w:sz w:val="21"/>
                <w:szCs w:val="21"/>
                <w:lang w:eastAsia="zh-CN"/>
              </w:rPr>
              <w:t>在校生数（人）</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b/>
                <w:bCs/>
                <w:color w:val="000000"/>
                <w:sz w:val="21"/>
                <w:szCs w:val="21"/>
                <w:lang w:eastAsia="zh-CN"/>
              </w:rPr>
            </w:pPr>
            <w:r>
              <w:rPr>
                <w:rFonts w:hint="eastAsia" w:ascii="仿宋" w:hAnsi="仿宋" w:eastAsia="仿宋" w:cs="宋体"/>
                <w:b/>
                <w:bCs/>
                <w:color w:val="000000"/>
                <w:sz w:val="21"/>
                <w:szCs w:val="21"/>
                <w:lang w:eastAsia="zh-CN"/>
              </w:rPr>
              <w:t>招生数（人）</w:t>
            </w:r>
          </w:p>
        </w:tc>
        <w:tc>
          <w:tcPr>
            <w:tcW w:w="13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b/>
                <w:bCs/>
                <w:color w:val="000000"/>
                <w:sz w:val="21"/>
                <w:szCs w:val="21"/>
                <w:lang w:eastAsia="zh-CN"/>
              </w:rPr>
            </w:pPr>
            <w:r>
              <w:rPr>
                <w:rFonts w:hint="eastAsia" w:ascii="仿宋" w:hAnsi="仿宋" w:eastAsia="仿宋" w:cs="宋体"/>
                <w:b/>
                <w:bCs/>
                <w:color w:val="000000"/>
                <w:sz w:val="21"/>
                <w:szCs w:val="21"/>
                <w:lang w:eastAsia="zh-CN"/>
              </w:rPr>
              <w:t>普职招生比</w:t>
            </w: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b/>
                <w:bCs/>
                <w:color w:val="000000"/>
                <w:sz w:val="21"/>
                <w:szCs w:val="21"/>
                <w:lang w:eastAsia="zh-CN"/>
              </w:rPr>
            </w:pPr>
            <w:r>
              <w:rPr>
                <w:rFonts w:hint="eastAsia" w:ascii="仿宋" w:hAnsi="仿宋" w:eastAsia="仿宋" w:cs="宋体"/>
                <w:b/>
                <w:bCs/>
                <w:color w:val="000000"/>
                <w:sz w:val="21"/>
                <w:szCs w:val="21"/>
                <w:lang w:eastAsia="zh-CN"/>
              </w:rPr>
              <w:t>毕业生数</w:t>
            </w:r>
          </w:p>
        </w:tc>
      </w:tr>
      <w:tr>
        <w:tblPrEx>
          <w:tblCellMar>
            <w:top w:w="0" w:type="dxa"/>
            <w:left w:w="108" w:type="dxa"/>
            <w:bottom w:w="0" w:type="dxa"/>
            <w:right w:w="108" w:type="dxa"/>
          </w:tblCellMar>
        </w:tblPrEx>
        <w:trPr>
          <w:trHeight w:val="1091" w:hRule="atLeast"/>
          <w:jc w:val="center"/>
        </w:trPr>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2018年</w:t>
            </w:r>
          </w:p>
        </w:tc>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34</w:t>
            </w:r>
          </w:p>
        </w:tc>
        <w:tc>
          <w:tcPr>
            <w:tcW w:w="17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26853</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8251</w:t>
            </w:r>
          </w:p>
        </w:tc>
        <w:tc>
          <w:tcPr>
            <w:tcW w:w="13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6.9:3.1</w:t>
            </w: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8986</w:t>
            </w:r>
          </w:p>
        </w:tc>
      </w:tr>
      <w:tr>
        <w:tblPrEx>
          <w:tblCellMar>
            <w:top w:w="0" w:type="dxa"/>
            <w:left w:w="108" w:type="dxa"/>
            <w:bottom w:w="0" w:type="dxa"/>
            <w:right w:w="108" w:type="dxa"/>
          </w:tblCellMar>
        </w:tblPrEx>
        <w:trPr>
          <w:trHeight w:val="1091" w:hRule="atLeast"/>
          <w:jc w:val="center"/>
        </w:trPr>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2019年</w:t>
            </w:r>
          </w:p>
        </w:tc>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34</w:t>
            </w:r>
          </w:p>
        </w:tc>
        <w:tc>
          <w:tcPr>
            <w:tcW w:w="17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25820</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7598</w:t>
            </w:r>
          </w:p>
        </w:tc>
        <w:tc>
          <w:tcPr>
            <w:tcW w:w="13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7:03</w:t>
            </w: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8631</w:t>
            </w:r>
          </w:p>
        </w:tc>
      </w:tr>
      <w:tr>
        <w:tblPrEx>
          <w:tblCellMar>
            <w:top w:w="0" w:type="dxa"/>
            <w:left w:w="108" w:type="dxa"/>
            <w:bottom w:w="0" w:type="dxa"/>
            <w:right w:w="108" w:type="dxa"/>
          </w:tblCellMar>
        </w:tblPrEx>
        <w:trPr>
          <w:trHeight w:val="1091" w:hRule="atLeast"/>
          <w:jc w:val="center"/>
        </w:trPr>
        <w:tc>
          <w:tcPr>
            <w:tcW w:w="13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202</w:t>
            </w:r>
            <w:r>
              <w:rPr>
                <w:rFonts w:ascii="仿宋" w:hAnsi="仿宋" w:eastAsia="仿宋" w:cs="宋体"/>
                <w:color w:val="000000"/>
                <w:sz w:val="21"/>
                <w:szCs w:val="21"/>
                <w:lang w:eastAsia="zh-CN"/>
              </w:rPr>
              <w:t>0</w:t>
            </w:r>
            <w:r>
              <w:rPr>
                <w:rFonts w:hint="eastAsia" w:ascii="仿宋" w:hAnsi="仿宋" w:eastAsia="仿宋" w:cs="宋体"/>
                <w:color w:val="000000"/>
                <w:sz w:val="21"/>
                <w:szCs w:val="21"/>
                <w:lang w:eastAsia="zh-CN"/>
              </w:rPr>
              <w:t>年</w:t>
            </w:r>
          </w:p>
        </w:tc>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34</w:t>
            </w:r>
          </w:p>
        </w:tc>
        <w:tc>
          <w:tcPr>
            <w:tcW w:w="17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22863</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9165</w:t>
            </w:r>
          </w:p>
        </w:tc>
        <w:tc>
          <w:tcPr>
            <w:tcW w:w="13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6.5:3.5</w:t>
            </w: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color w:val="000000"/>
                <w:sz w:val="21"/>
                <w:szCs w:val="21"/>
                <w:lang w:eastAsia="zh-CN"/>
              </w:rPr>
            </w:pPr>
            <w:r>
              <w:rPr>
                <w:rFonts w:hint="eastAsia" w:ascii="仿宋" w:hAnsi="仿宋" w:eastAsia="仿宋" w:cs="宋体"/>
                <w:color w:val="000000"/>
                <w:sz w:val="21"/>
                <w:szCs w:val="21"/>
                <w:lang w:eastAsia="zh-CN"/>
              </w:rPr>
              <w:t>7163</w:t>
            </w:r>
          </w:p>
        </w:tc>
      </w:tr>
    </w:tbl>
    <w:p>
      <w:pPr>
        <w:pStyle w:val="2"/>
        <w:spacing w:line="360" w:lineRule="auto"/>
        <w:ind w:left="0" w:leftChars="0" w:firstLine="0" w:firstLineChars="0"/>
        <w:jc w:val="center"/>
        <w:rPr>
          <w:rFonts w:ascii="仿宋" w:hAnsi="仿宋" w:eastAsia="仿宋"/>
          <w:lang w:eastAsia="zh-CN"/>
        </w:rPr>
      </w:pPr>
      <w:r>
        <w:drawing>
          <wp:inline distT="0" distB="0" distL="0" distR="0">
            <wp:extent cx="4641850" cy="5832475"/>
            <wp:effectExtent l="0" t="0" r="6350" b="15875"/>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2"/>
        <w:spacing w:line="360" w:lineRule="auto"/>
        <w:ind w:left="0" w:leftChars="0" w:firstLine="0" w:firstLineChars="0"/>
        <w:jc w:val="center"/>
        <w:rPr>
          <w:rFonts w:ascii="仿宋" w:hAnsi="仿宋" w:eastAsia="仿宋"/>
          <w:lang w:eastAsia="zh-CN"/>
        </w:rPr>
      </w:pPr>
    </w:p>
    <w:p>
      <w:pPr>
        <w:pStyle w:val="4"/>
        <w:spacing w:before="0" w:after="0" w:line="360" w:lineRule="auto"/>
        <w:ind w:firstLine="560"/>
        <w:jc w:val="both"/>
        <w:rPr>
          <w:rFonts w:ascii="仿宋" w:hAnsi="仿宋" w:eastAsia="仿宋" w:cs="楷体"/>
          <w:bCs w:val="0"/>
          <w:sz w:val="28"/>
          <w:szCs w:val="28"/>
          <w:lang w:val="uk-UA"/>
        </w:rPr>
      </w:pPr>
      <w:bookmarkStart w:id="4" w:name="_Toc66798289"/>
      <w:r>
        <w:rPr>
          <w:rFonts w:hint="eastAsia" w:ascii="仿宋" w:hAnsi="仿宋" w:eastAsia="仿宋" w:cs="楷体"/>
          <w:bCs w:val="0"/>
          <w:sz w:val="28"/>
          <w:szCs w:val="28"/>
        </w:rPr>
        <w:t>1</w:t>
      </w:r>
      <w:r>
        <w:rPr>
          <w:rFonts w:hint="eastAsia" w:ascii="仿宋" w:hAnsi="仿宋" w:eastAsia="仿宋" w:cs="楷体"/>
          <w:bCs w:val="0"/>
          <w:sz w:val="28"/>
          <w:szCs w:val="28"/>
          <w:lang w:eastAsia="zh-CN"/>
        </w:rPr>
        <w:t>.</w:t>
      </w:r>
      <w:r>
        <w:rPr>
          <w:rFonts w:hint="eastAsia" w:ascii="仿宋" w:hAnsi="仿宋" w:eastAsia="仿宋" w:cs="楷体"/>
          <w:bCs w:val="0"/>
          <w:sz w:val="28"/>
          <w:szCs w:val="28"/>
        </w:rPr>
        <w:t>2设施设备</w:t>
      </w:r>
      <w:bookmarkEnd w:id="4"/>
    </w:p>
    <w:p>
      <w:pPr>
        <w:spacing w:line="360" w:lineRule="auto"/>
        <w:ind w:firstLine="560"/>
        <w:jc w:val="both"/>
        <w:rPr>
          <w:rFonts w:eastAsia="仿宋" w:cs="仿宋_GB2312" w:asciiTheme="minorHAnsi" w:hAnsiTheme="minorHAnsi"/>
          <w:sz w:val="28"/>
          <w:szCs w:val="28"/>
          <w:lang w:val="uk-UA"/>
        </w:rPr>
      </w:pPr>
      <w:r>
        <w:rPr>
          <w:rFonts w:hint="eastAsia" w:ascii="仿宋" w:hAnsi="仿宋" w:eastAsia="仿宋" w:cs="仿宋_GB2312"/>
          <w:sz w:val="28"/>
          <w:szCs w:val="28"/>
        </w:rPr>
        <w:t>201</w:t>
      </w:r>
      <w:r>
        <w:rPr>
          <w:rFonts w:hint="eastAsia" w:ascii="仿宋" w:hAnsi="仿宋" w:eastAsia="仿宋" w:cs="仿宋_GB2312"/>
          <w:sz w:val="28"/>
          <w:szCs w:val="28"/>
          <w:lang w:eastAsia="zh-CN"/>
        </w:rPr>
        <w:t>9-2020</w:t>
      </w:r>
      <w:r>
        <w:rPr>
          <w:rFonts w:hint="eastAsia" w:ascii="仿宋" w:hAnsi="仿宋" w:eastAsia="仿宋" w:cs="仿宋_GB2312"/>
          <w:sz w:val="28"/>
          <w:szCs w:val="28"/>
        </w:rPr>
        <w:t>学年，全市中等职业学校（不含技工学校）校舍建筑总面积</w:t>
      </w:r>
      <w:r>
        <w:rPr>
          <w:rFonts w:hint="eastAsia" w:ascii="仿宋" w:hAnsi="仿宋" w:eastAsia="仿宋" w:cs="仿宋_GB2312"/>
          <w:sz w:val="28"/>
          <w:szCs w:val="28"/>
          <w:lang w:eastAsia="zh-CN"/>
        </w:rPr>
        <w:t>852215</w:t>
      </w:r>
      <w:r>
        <w:rPr>
          <w:rFonts w:hint="eastAsia" w:ascii="仿宋" w:hAnsi="仿宋" w:eastAsia="仿宋" w:cs="仿宋_GB2312"/>
          <w:sz w:val="28"/>
          <w:szCs w:val="28"/>
        </w:rPr>
        <w:t>平方米，生均校舍建筑面积</w:t>
      </w:r>
      <w:r>
        <w:rPr>
          <w:rFonts w:hint="eastAsia" w:ascii="仿宋" w:hAnsi="仿宋" w:eastAsia="仿宋" w:cs="仿宋_GB2312"/>
          <w:sz w:val="28"/>
          <w:szCs w:val="28"/>
          <w:lang w:eastAsia="zh-CN"/>
        </w:rPr>
        <w:t>48.48</w:t>
      </w:r>
      <w:r>
        <w:rPr>
          <w:rFonts w:hint="eastAsia" w:ascii="仿宋" w:hAnsi="仿宋" w:eastAsia="仿宋" w:cs="仿宋_GB2312"/>
          <w:sz w:val="28"/>
          <w:szCs w:val="28"/>
        </w:rPr>
        <w:t>平方米；仪器设备总值</w:t>
      </w:r>
      <w:r>
        <w:rPr>
          <w:rFonts w:hint="eastAsia" w:ascii="仿宋" w:hAnsi="仿宋" w:eastAsia="仿宋" w:cs="仿宋_GB2312"/>
          <w:sz w:val="28"/>
          <w:szCs w:val="28"/>
          <w:lang w:eastAsia="zh-CN"/>
        </w:rPr>
        <w:t>34112.37</w:t>
      </w:r>
      <w:r>
        <w:rPr>
          <w:rFonts w:hint="eastAsia" w:ascii="仿宋" w:hAnsi="仿宋" w:eastAsia="仿宋" w:cs="仿宋_GB2312"/>
          <w:sz w:val="28"/>
          <w:szCs w:val="28"/>
        </w:rPr>
        <w:t>万元，生均仪器设备值</w:t>
      </w:r>
      <w:r>
        <w:rPr>
          <w:rFonts w:hint="eastAsia" w:ascii="仿宋" w:hAnsi="仿宋" w:eastAsia="仿宋" w:cs="仿宋_GB2312"/>
          <w:sz w:val="28"/>
          <w:szCs w:val="28"/>
          <w:lang w:eastAsia="zh-CN"/>
        </w:rPr>
        <w:t>2.32</w:t>
      </w:r>
      <w:r>
        <w:rPr>
          <w:rFonts w:hint="eastAsia" w:ascii="仿宋" w:hAnsi="仿宋" w:eastAsia="仿宋" w:cs="仿宋_GB2312"/>
          <w:sz w:val="28"/>
          <w:szCs w:val="28"/>
        </w:rPr>
        <w:t>万元，与上年相比增长0</w:t>
      </w:r>
      <w:r>
        <w:rPr>
          <w:rFonts w:hint="eastAsia" w:ascii="仿宋" w:hAnsi="仿宋" w:eastAsia="仿宋" w:cs="仿宋_GB2312"/>
          <w:sz w:val="28"/>
          <w:szCs w:val="28"/>
          <w:lang w:eastAsia="zh-CN"/>
        </w:rPr>
        <w:t>.3</w:t>
      </w:r>
      <w:r>
        <w:rPr>
          <w:rFonts w:hint="eastAsia" w:ascii="仿宋" w:hAnsi="仿宋" w:eastAsia="仿宋" w:cs="仿宋_GB2312"/>
          <w:sz w:val="28"/>
          <w:szCs w:val="28"/>
        </w:rPr>
        <w:t>万元；图书共</w:t>
      </w:r>
      <w:r>
        <w:rPr>
          <w:rFonts w:hint="eastAsia" w:ascii="仿宋" w:hAnsi="仿宋" w:eastAsia="仿宋" w:cs="仿宋_GB2312"/>
          <w:sz w:val="28"/>
          <w:szCs w:val="28"/>
          <w:lang w:eastAsia="zh-CN"/>
        </w:rPr>
        <w:t>544887</w:t>
      </w:r>
      <w:r>
        <w:rPr>
          <w:rFonts w:hint="eastAsia" w:ascii="仿宋" w:hAnsi="仿宋" w:eastAsia="仿宋" w:cs="仿宋_GB2312"/>
          <w:sz w:val="28"/>
          <w:szCs w:val="28"/>
        </w:rPr>
        <w:t>册，生均图书</w:t>
      </w:r>
      <w:r>
        <w:rPr>
          <w:rFonts w:hint="eastAsia" w:ascii="仿宋" w:hAnsi="仿宋" w:eastAsia="仿宋" w:cs="仿宋_GB2312"/>
          <w:sz w:val="28"/>
          <w:szCs w:val="28"/>
          <w:lang w:eastAsia="zh-CN"/>
        </w:rPr>
        <w:t>31</w:t>
      </w:r>
      <w:r>
        <w:rPr>
          <w:rFonts w:hint="eastAsia" w:ascii="仿宋" w:hAnsi="仿宋" w:eastAsia="仿宋" w:cs="仿宋_GB2312"/>
          <w:sz w:val="28"/>
          <w:szCs w:val="28"/>
        </w:rPr>
        <w:t>册，与上年相比增长</w:t>
      </w:r>
      <w:r>
        <w:rPr>
          <w:rFonts w:hint="eastAsia" w:ascii="仿宋" w:hAnsi="仿宋" w:eastAsia="仿宋" w:cs="仿宋_GB2312"/>
          <w:sz w:val="28"/>
          <w:szCs w:val="28"/>
          <w:lang w:eastAsia="zh-CN"/>
        </w:rPr>
        <w:t>0.6</w:t>
      </w:r>
      <w:r>
        <w:rPr>
          <w:rFonts w:hint="eastAsia" w:ascii="仿宋" w:hAnsi="仿宋" w:eastAsia="仿宋" w:cs="仿宋_GB2312"/>
          <w:sz w:val="28"/>
          <w:szCs w:val="28"/>
        </w:rPr>
        <w:t>册。</w:t>
      </w:r>
    </w:p>
    <w:tbl>
      <w:tblPr>
        <w:tblStyle w:val="13"/>
        <w:tblpPr w:leftFromText="180" w:rightFromText="180" w:vertAnchor="text" w:horzAnchor="margin" w:tblpXSpec="center" w:tblpY="443"/>
        <w:tblW w:w="8360" w:type="dxa"/>
        <w:tblInd w:w="0" w:type="dxa"/>
        <w:tblLayout w:type="autofit"/>
        <w:tblCellMar>
          <w:top w:w="0" w:type="dxa"/>
          <w:left w:w="108" w:type="dxa"/>
          <w:bottom w:w="0" w:type="dxa"/>
          <w:right w:w="108" w:type="dxa"/>
        </w:tblCellMar>
      </w:tblPr>
      <w:tblGrid>
        <w:gridCol w:w="1120"/>
        <w:gridCol w:w="2712"/>
        <w:gridCol w:w="2373"/>
        <w:gridCol w:w="2155"/>
      </w:tblGrid>
      <w:tr>
        <w:tblPrEx>
          <w:tblCellMar>
            <w:top w:w="0" w:type="dxa"/>
            <w:left w:w="108" w:type="dxa"/>
            <w:bottom w:w="0" w:type="dxa"/>
            <w:right w:w="108" w:type="dxa"/>
          </w:tblCellMar>
        </w:tblPrEx>
        <w:trPr>
          <w:trHeight w:val="1462" w:hRule="atLeast"/>
        </w:trPr>
        <w:tc>
          <w:tcPr>
            <w:tcW w:w="1120" w:type="dxa"/>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ind w:left="480" w:leftChars="200"/>
              <w:rPr>
                <w:rFonts w:ascii="仿宋" w:hAnsi="仿宋" w:eastAsia="仿宋" w:cs="宋体"/>
                <w:b/>
                <w:bCs/>
                <w:sz w:val="21"/>
                <w:szCs w:val="21"/>
                <w:lang w:eastAsia="zh-CN"/>
              </w:rPr>
            </w:pPr>
            <w:r>
              <w:rPr>
                <w:rFonts w:hint="eastAsia" w:ascii="仿宋" w:hAnsi="仿宋" w:eastAsia="仿宋" w:cs="宋体"/>
                <w:b/>
                <w:bCs/>
                <w:sz w:val="21"/>
                <w:szCs w:val="21"/>
                <w:lang w:eastAsia="zh-CN"/>
              </w:rPr>
              <w:t>项目</w:t>
            </w:r>
            <w:r>
              <w:rPr>
                <w:rFonts w:ascii="仿宋" w:hAnsi="仿宋" w:eastAsia="仿宋" w:cs="宋体"/>
                <w:b/>
                <w:bCs/>
                <w:sz w:val="21"/>
                <w:szCs w:val="21"/>
                <w:lang w:eastAsia="zh-CN"/>
              </w:rPr>
              <w:br w:type="textWrapping"/>
            </w:r>
          </w:p>
          <w:p>
            <w:pPr>
              <w:rPr>
                <w:rFonts w:ascii="仿宋" w:hAnsi="仿宋" w:eastAsia="仿宋" w:cs="宋体"/>
                <w:b/>
                <w:bCs/>
                <w:sz w:val="21"/>
                <w:szCs w:val="21"/>
                <w:lang w:eastAsia="zh-CN"/>
              </w:rPr>
            </w:pPr>
            <w:r>
              <w:rPr>
                <w:rFonts w:hint="eastAsia" w:ascii="仿宋" w:hAnsi="仿宋" w:eastAsia="仿宋" w:cs="宋体"/>
                <w:b/>
                <w:bCs/>
                <w:sz w:val="21"/>
                <w:szCs w:val="21"/>
                <w:lang w:eastAsia="zh-CN"/>
              </w:rPr>
              <w:t>年份</w:t>
            </w:r>
          </w:p>
        </w:tc>
        <w:tc>
          <w:tcPr>
            <w:tcW w:w="27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b/>
                <w:bCs/>
                <w:sz w:val="21"/>
                <w:szCs w:val="21"/>
                <w:lang w:eastAsia="zh-CN"/>
              </w:rPr>
            </w:pPr>
            <w:r>
              <w:rPr>
                <w:rFonts w:hint="eastAsia" w:ascii="仿宋" w:hAnsi="仿宋" w:eastAsia="仿宋" w:cs="宋体"/>
                <w:b/>
                <w:bCs/>
                <w:sz w:val="21"/>
                <w:szCs w:val="21"/>
                <w:lang w:eastAsia="zh-CN"/>
              </w:rPr>
              <w:t>生均教学仪器</w:t>
            </w:r>
            <w:r>
              <w:rPr>
                <w:rFonts w:ascii="仿宋" w:hAnsi="仿宋" w:eastAsia="仿宋" w:cs="宋体"/>
                <w:b/>
                <w:bCs/>
                <w:sz w:val="21"/>
                <w:szCs w:val="21"/>
                <w:lang w:eastAsia="zh-CN"/>
              </w:rPr>
              <w:br w:type="textWrapping"/>
            </w:r>
            <w:r>
              <w:rPr>
                <w:rFonts w:hint="eastAsia" w:ascii="仿宋" w:hAnsi="仿宋" w:eastAsia="仿宋" w:cs="宋体"/>
                <w:b/>
                <w:bCs/>
                <w:sz w:val="21"/>
                <w:szCs w:val="21"/>
                <w:lang w:eastAsia="zh-CN"/>
              </w:rPr>
              <w:t>设备值（元）</w:t>
            </w:r>
          </w:p>
        </w:tc>
        <w:tc>
          <w:tcPr>
            <w:tcW w:w="23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b/>
                <w:bCs/>
                <w:sz w:val="21"/>
                <w:szCs w:val="21"/>
                <w:lang w:eastAsia="zh-CN"/>
              </w:rPr>
            </w:pPr>
            <w:r>
              <w:rPr>
                <w:rFonts w:hint="eastAsia" w:ascii="仿宋" w:hAnsi="仿宋" w:eastAsia="仿宋" w:cs="宋体"/>
                <w:b/>
                <w:bCs/>
                <w:sz w:val="21"/>
                <w:szCs w:val="21"/>
                <w:lang w:eastAsia="zh-CN"/>
              </w:rPr>
              <w:t>生均实训实习</w:t>
            </w:r>
            <w:r>
              <w:rPr>
                <w:rFonts w:ascii="仿宋" w:hAnsi="仿宋" w:eastAsia="仿宋" w:cs="宋体"/>
                <w:b/>
                <w:bCs/>
                <w:sz w:val="21"/>
                <w:szCs w:val="21"/>
                <w:lang w:eastAsia="zh-CN"/>
              </w:rPr>
              <w:br w:type="textWrapping"/>
            </w:r>
            <w:r>
              <w:rPr>
                <w:rFonts w:hint="eastAsia" w:ascii="仿宋" w:hAnsi="仿宋" w:eastAsia="仿宋" w:cs="宋体"/>
                <w:b/>
                <w:bCs/>
                <w:sz w:val="21"/>
                <w:szCs w:val="21"/>
                <w:lang w:eastAsia="zh-CN"/>
              </w:rPr>
              <w:t>工位数（个）</w:t>
            </w:r>
          </w:p>
        </w:tc>
        <w:tc>
          <w:tcPr>
            <w:tcW w:w="215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b/>
                <w:bCs/>
                <w:sz w:val="21"/>
                <w:szCs w:val="21"/>
                <w:lang w:eastAsia="zh-CN"/>
              </w:rPr>
            </w:pPr>
            <w:r>
              <w:rPr>
                <w:rFonts w:hint="eastAsia" w:ascii="仿宋" w:hAnsi="仿宋" w:eastAsia="仿宋" w:cs="宋体"/>
                <w:b/>
                <w:bCs/>
                <w:sz w:val="21"/>
                <w:szCs w:val="21"/>
                <w:lang w:eastAsia="zh-CN"/>
              </w:rPr>
              <w:t>生均纸质</w:t>
            </w:r>
            <w:r>
              <w:rPr>
                <w:rFonts w:ascii="仿宋" w:hAnsi="仿宋" w:eastAsia="仿宋" w:cs="宋体"/>
                <w:b/>
                <w:bCs/>
                <w:sz w:val="21"/>
                <w:szCs w:val="21"/>
                <w:lang w:eastAsia="zh-CN"/>
              </w:rPr>
              <w:br w:type="textWrapping"/>
            </w:r>
            <w:r>
              <w:rPr>
                <w:rFonts w:hint="eastAsia" w:ascii="仿宋" w:hAnsi="仿宋" w:eastAsia="仿宋" w:cs="宋体"/>
                <w:b/>
                <w:bCs/>
                <w:sz w:val="21"/>
                <w:szCs w:val="21"/>
                <w:lang w:eastAsia="zh-CN"/>
              </w:rPr>
              <w:t>图书数（册）</w:t>
            </w:r>
          </w:p>
        </w:tc>
      </w:tr>
      <w:tr>
        <w:tblPrEx>
          <w:tblCellMar>
            <w:top w:w="0" w:type="dxa"/>
            <w:left w:w="108" w:type="dxa"/>
            <w:bottom w:w="0" w:type="dxa"/>
            <w:right w:w="108" w:type="dxa"/>
          </w:tblCellMar>
        </w:tblPrEx>
        <w:trPr>
          <w:trHeight w:val="722" w:hRule="atLeast"/>
        </w:trPr>
        <w:tc>
          <w:tcPr>
            <w:tcW w:w="11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sz w:val="21"/>
                <w:szCs w:val="21"/>
                <w:lang w:eastAsia="zh-CN"/>
              </w:rPr>
            </w:pPr>
            <w:r>
              <w:rPr>
                <w:rFonts w:hint="eastAsia" w:ascii="华文仿宋" w:hAnsi="华文仿宋" w:eastAsia="华文仿宋" w:cs="宋体"/>
                <w:color w:val="000000"/>
                <w:sz w:val="21"/>
                <w:szCs w:val="21"/>
                <w:lang w:eastAsia="zh-CN"/>
              </w:rPr>
              <w:t>2018年</w:t>
            </w:r>
          </w:p>
        </w:tc>
        <w:tc>
          <w:tcPr>
            <w:tcW w:w="27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sz w:val="21"/>
                <w:szCs w:val="21"/>
                <w:lang w:eastAsia="zh-CN"/>
              </w:rPr>
            </w:pPr>
            <w:r>
              <w:rPr>
                <w:rFonts w:hint="eastAsia" w:ascii="华文仿宋" w:hAnsi="华文仿宋" w:eastAsia="华文仿宋" w:cs="宋体"/>
                <w:color w:val="000000"/>
                <w:sz w:val="21"/>
                <w:szCs w:val="21"/>
                <w:lang w:eastAsia="zh-CN"/>
              </w:rPr>
              <w:t>20852</w:t>
            </w:r>
          </w:p>
        </w:tc>
        <w:tc>
          <w:tcPr>
            <w:tcW w:w="23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sz w:val="21"/>
                <w:szCs w:val="21"/>
                <w:lang w:eastAsia="zh-CN"/>
              </w:rPr>
            </w:pPr>
            <w:r>
              <w:rPr>
                <w:rFonts w:hint="eastAsia" w:ascii="华文仿宋" w:hAnsi="华文仿宋" w:eastAsia="华文仿宋" w:cs="宋体"/>
                <w:color w:val="000000"/>
                <w:sz w:val="21"/>
                <w:szCs w:val="21"/>
                <w:lang w:eastAsia="zh-CN"/>
              </w:rPr>
              <w:t>0.51</w:t>
            </w:r>
          </w:p>
        </w:tc>
        <w:tc>
          <w:tcPr>
            <w:tcW w:w="215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sz w:val="21"/>
                <w:szCs w:val="21"/>
                <w:lang w:eastAsia="zh-CN"/>
              </w:rPr>
            </w:pPr>
            <w:r>
              <w:rPr>
                <w:rFonts w:hint="eastAsia" w:ascii="华文仿宋" w:hAnsi="华文仿宋" w:eastAsia="华文仿宋" w:cs="宋体"/>
                <w:color w:val="000000"/>
                <w:sz w:val="21"/>
                <w:szCs w:val="21"/>
                <w:lang w:eastAsia="zh-CN"/>
              </w:rPr>
              <w:t>29.6</w:t>
            </w:r>
          </w:p>
        </w:tc>
      </w:tr>
      <w:tr>
        <w:tblPrEx>
          <w:tblCellMar>
            <w:top w:w="0" w:type="dxa"/>
            <w:left w:w="108" w:type="dxa"/>
            <w:bottom w:w="0" w:type="dxa"/>
            <w:right w:w="108" w:type="dxa"/>
          </w:tblCellMar>
        </w:tblPrEx>
        <w:trPr>
          <w:trHeight w:val="722" w:hRule="atLeast"/>
        </w:trPr>
        <w:tc>
          <w:tcPr>
            <w:tcW w:w="11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华文仿宋" w:hAnsi="华文仿宋" w:eastAsia="华文仿宋" w:cs="宋体"/>
                <w:color w:val="000000"/>
                <w:sz w:val="21"/>
                <w:szCs w:val="21"/>
                <w:lang w:eastAsia="zh-CN"/>
              </w:rPr>
            </w:pPr>
            <w:r>
              <w:rPr>
                <w:rFonts w:hint="eastAsia" w:ascii="仿宋" w:hAnsi="仿宋" w:eastAsia="仿宋" w:cs="宋体"/>
                <w:sz w:val="21"/>
                <w:szCs w:val="21"/>
                <w:lang w:eastAsia="zh-CN"/>
              </w:rPr>
              <w:t>2019年</w:t>
            </w:r>
          </w:p>
        </w:tc>
        <w:tc>
          <w:tcPr>
            <w:tcW w:w="27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华文仿宋" w:hAnsi="华文仿宋" w:eastAsia="华文仿宋" w:cs="宋体"/>
                <w:color w:val="000000"/>
                <w:sz w:val="21"/>
                <w:szCs w:val="21"/>
                <w:lang w:eastAsia="zh-CN"/>
              </w:rPr>
            </w:pPr>
            <w:r>
              <w:rPr>
                <w:rFonts w:hint="eastAsia" w:ascii="仿宋" w:hAnsi="仿宋" w:eastAsia="仿宋" w:cs="宋体"/>
                <w:sz w:val="21"/>
                <w:szCs w:val="21"/>
                <w:lang w:eastAsia="zh-CN"/>
              </w:rPr>
              <w:t>21225</w:t>
            </w:r>
          </w:p>
        </w:tc>
        <w:tc>
          <w:tcPr>
            <w:tcW w:w="23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华文仿宋" w:hAnsi="华文仿宋" w:eastAsia="华文仿宋" w:cs="宋体"/>
                <w:color w:val="000000"/>
                <w:sz w:val="21"/>
                <w:szCs w:val="21"/>
                <w:lang w:eastAsia="zh-CN"/>
              </w:rPr>
            </w:pPr>
            <w:r>
              <w:rPr>
                <w:rFonts w:hint="eastAsia" w:ascii="仿宋" w:hAnsi="仿宋" w:eastAsia="仿宋" w:cs="宋体"/>
                <w:sz w:val="21"/>
                <w:szCs w:val="21"/>
                <w:lang w:eastAsia="zh-CN"/>
              </w:rPr>
              <w:t>0.53</w:t>
            </w:r>
          </w:p>
        </w:tc>
        <w:tc>
          <w:tcPr>
            <w:tcW w:w="215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华文仿宋" w:hAnsi="华文仿宋" w:eastAsia="华文仿宋" w:cs="宋体"/>
                <w:color w:val="000000"/>
                <w:sz w:val="21"/>
                <w:szCs w:val="21"/>
                <w:lang w:eastAsia="zh-CN"/>
              </w:rPr>
            </w:pPr>
            <w:r>
              <w:rPr>
                <w:rFonts w:hint="eastAsia" w:ascii="仿宋" w:hAnsi="仿宋" w:eastAsia="仿宋" w:cs="宋体"/>
                <w:sz w:val="21"/>
                <w:szCs w:val="21"/>
                <w:lang w:eastAsia="zh-CN"/>
              </w:rPr>
              <w:t>30.4</w:t>
            </w:r>
          </w:p>
        </w:tc>
      </w:tr>
      <w:tr>
        <w:tblPrEx>
          <w:tblCellMar>
            <w:top w:w="0" w:type="dxa"/>
            <w:left w:w="108" w:type="dxa"/>
            <w:bottom w:w="0" w:type="dxa"/>
            <w:right w:w="108" w:type="dxa"/>
          </w:tblCellMar>
        </w:tblPrEx>
        <w:trPr>
          <w:trHeight w:val="722" w:hRule="atLeast"/>
        </w:trPr>
        <w:tc>
          <w:tcPr>
            <w:tcW w:w="11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sz w:val="21"/>
                <w:szCs w:val="21"/>
                <w:lang w:eastAsia="zh-CN"/>
              </w:rPr>
            </w:pPr>
            <w:r>
              <w:rPr>
                <w:rFonts w:hint="eastAsia" w:ascii="仿宋" w:hAnsi="仿宋" w:eastAsia="仿宋" w:cs="宋体"/>
                <w:sz w:val="21"/>
                <w:szCs w:val="21"/>
                <w:lang w:eastAsia="zh-CN"/>
              </w:rPr>
              <w:t>2020年</w:t>
            </w:r>
          </w:p>
        </w:tc>
        <w:tc>
          <w:tcPr>
            <w:tcW w:w="27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sz w:val="21"/>
                <w:szCs w:val="21"/>
                <w:lang w:eastAsia="zh-CN"/>
              </w:rPr>
            </w:pPr>
            <w:r>
              <w:rPr>
                <w:rFonts w:hint="eastAsia" w:ascii="仿宋" w:hAnsi="仿宋" w:eastAsia="仿宋" w:cs="宋体"/>
                <w:sz w:val="21"/>
                <w:szCs w:val="21"/>
                <w:lang w:eastAsia="zh-CN"/>
              </w:rPr>
              <w:t>23288</w:t>
            </w:r>
          </w:p>
        </w:tc>
        <w:tc>
          <w:tcPr>
            <w:tcW w:w="23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sz w:val="21"/>
                <w:szCs w:val="21"/>
                <w:lang w:eastAsia="zh-CN"/>
              </w:rPr>
            </w:pPr>
            <w:r>
              <w:rPr>
                <w:rFonts w:hint="eastAsia" w:ascii="仿宋" w:hAnsi="仿宋" w:eastAsia="仿宋" w:cs="宋体"/>
                <w:sz w:val="21"/>
                <w:szCs w:val="21"/>
                <w:lang w:eastAsia="zh-CN"/>
              </w:rPr>
              <w:t>0.55</w:t>
            </w:r>
          </w:p>
        </w:tc>
        <w:tc>
          <w:tcPr>
            <w:tcW w:w="215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sz w:val="21"/>
                <w:szCs w:val="21"/>
                <w:lang w:eastAsia="zh-CN"/>
              </w:rPr>
            </w:pPr>
            <w:r>
              <w:rPr>
                <w:rFonts w:hint="eastAsia" w:ascii="仿宋" w:hAnsi="仿宋" w:eastAsia="仿宋" w:cs="宋体"/>
                <w:sz w:val="21"/>
                <w:szCs w:val="21"/>
                <w:lang w:eastAsia="zh-CN"/>
              </w:rPr>
              <w:t>31</w:t>
            </w:r>
          </w:p>
        </w:tc>
      </w:tr>
    </w:tbl>
    <w:p>
      <w:pPr>
        <w:pStyle w:val="2"/>
        <w:spacing w:line="360" w:lineRule="auto"/>
        <w:ind w:left="0" w:leftChars="0" w:firstLine="0" w:firstLineChars="0"/>
        <w:jc w:val="center"/>
        <w:rPr>
          <w:rFonts w:ascii="仿宋" w:hAnsi="仿宋" w:eastAsia="仿宋"/>
          <w:b/>
          <w:lang w:eastAsia="zh-CN"/>
        </w:rPr>
      </w:pPr>
      <w:r>
        <w:rPr>
          <w:rFonts w:hint="eastAsia" w:ascii="仿宋" w:hAnsi="仿宋" w:eastAsia="仿宋"/>
          <w:b/>
          <w:lang w:eastAsia="zh-CN"/>
        </w:rPr>
        <w:t>表二：</w:t>
      </w:r>
      <w:r>
        <w:rPr>
          <w:rFonts w:ascii="仿宋" w:hAnsi="仿宋" w:eastAsia="仿宋"/>
          <w:b/>
          <w:lang w:eastAsia="zh-CN"/>
        </w:rPr>
        <w:t>201</w:t>
      </w:r>
      <w:r>
        <w:rPr>
          <w:rFonts w:hint="eastAsia" w:ascii="仿宋" w:hAnsi="仿宋" w:eastAsia="仿宋"/>
          <w:b/>
          <w:lang w:eastAsia="zh-CN"/>
        </w:rPr>
        <w:t>8</w:t>
      </w:r>
      <w:r>
        <w:rPr>
          <w:rFonts w:ascii="仿宋" w:hAnsi="仿宋" w:eastAsia="仿宋"/>
          <w:b/>
          <w:lang w:eastAsia="zh-CN"/>
        </w:rPr>
        <w:t>-</w:t>
      </w:r>
      <w:r>
        <w:rPr>
          <w:rFonts w:hint="eastAsia" w:ascii="仿宋" w:hAnsi="仿宋" w:eastAsia="仿宋"/>
          <w:b/>
          <w:lang w:eastAsia="zh-CN"/>
        </w:rPr>
        <w:t>2020年大同市中等职业学校办学条件数据表</w:t>
      </w:r>
    </w:p>
    <w:p>
      <w:pPr>
        <w:pStyle w:val="2"/>
        <w:spacing w:line="360" w:lineRule="auto"/>
        <w:ind w:left="0" w:leftChars="0" w:firstLine="0" w:firstLineChars="0"/>
        <w:jc w:val="center"/>
        <w:rPr>
          <w:rFonts w:ascii="仿宋" w:hAnsi="仿宋" w:eastAsia="仿宋"/>
          <w:b/>
          <w:sz w:val="28"/>
          <w:szCs w:val="28"/>
          <w:lang w:eastAsia="zh-CN"/>
        </w:rPr>
      </w:pPr>
    </w:p>
    <w:p>
      <w:pPr>
        <w:pStyle w:val="2"/>
        <w:spacing w:line="360" w:lineRule="auto"/>
        <w:ind w:left="0" w:leftChars="0" w:firstLine="0" w:firstLineChars="0"/>
        <w:jc w:val="center"/>
        <w:rPr>
          <w:rFonts w:ascii="仿宋" w:hAnsi="仿宋" w:eastAsia="仿宋"/>
          <w:b/>
          <w:sz w:val="28"/>
          <w:szCs w:val="28"/>
          <w:lang w:eastAsia="zh-CN"/>
        </w:rPr>
      </w:pPr>
      <w:r>
        <w:drawing>
          <wp:inline distT="0" distB="0" distL="0" distR="0">
            <wp:extent cx="4572000" cy="2743200"/>
            <wp:effectExtent l="0" t="0" r="0" b="0"/>
            <wp:docPr id="5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360" w:lineRule="auto"/>
        <w:jc w:val="center"/>
        <w:rPr>
          <w:rFonts w:eastAsia="仿宋" w:asciiTheme="minorHAnsi" w:hAnsiTheme="minorHAnsi"/>
          <w:lang w:val="uk-UA"/>
        </w:rPr>
      </w:pPr>
      <w:r>
        <w:drawing>
          <wp:inline distT="0" distB="0" distL="0" distR="0">
            <wp:extent cx="4572000" cy="2743200"/>
            <wp:effectExtent l="0" t="0" r="0" b="0"/>
            <wp:docPr id="57"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2"/>
        <w:ind w:left="0" w:leftChars="0" w:firstLine="0" w:firstLineChars="0"/>
        <w:jc w:val="center"/>
        <w:rPr>
          <w:rFonts w:eastAsia="华文仿宋"/>
          <w:lang w:val="uk-UA"/>
        </w:rPr>
      </w:pPr>
    </w:p>
    <w:p>
      <w:pPr>
        <w:spacing w:line="360" w:lineRule="auto"/>
        <w:jc w:val="center"/>
        <w:rPr>
          <w:rFonts w:ascii="仿宋" w:hAnsi="仿宋" w:eastAsia="仿宋"/>
          <w:b/>
          <w:lang w:val="uk-UA"/>
        </w:rPr>
      </w:pPr>
      <w:r>
        <w:drawing>
          <wp:inline distT="0" distB="0" distL="0" distR="0">
            <wp:extent cx="4572000" cy="2743200"/>
            <wp:effectExtent l="0" t="0" r="0" b="0"/>
            <wp:docPr id="58" name="图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4"/>
        <w:spacing w:before="0" w:after="0" w:line="360" w:lineRule="auto"/>
        <w:ind w:firstLine="560"/>
        <w:jc w:val="both"/>
        <w:rPr>
          <w:rFonts w:ascii="仿宋" w:hAnsi="仿宋" w:eastAsia="仿宋" w:cs="楷体"/>
          <w:bCs w:val="0"/>
          <w:sz w:val="28"/>
          <w:szCs w:val="28"/>
        </w:rPr>
      </w:pPr>
      <w:bookmarkStart w:id="5" w:name="_Toc66798290"/>
      <w:r>
        <w:rPr>
          <w:rFonts w:hint="eastAsia" w:ascii="仿宋" w:hAnsi="仿宋" w:eastAsia="仿宋" w:cs="楷体"/>
          <w:bCs w:val="0"/>
          <w:sz w:val="28"/>
          <w:szCs w:val="28"/>
        </w:rPr>
        <w:t>1</w:t>
      </w:r>
      <w:r>
        <w:rPr>
          <w:rFonts w:hint="eastAsia" w:ascii="仿宋" w:hAnsi="仿宋" w:eastAsia="仿宋" w:cs="楷体"/>
          <w:bCs w:val="0"/>
          <w:sz w:val="28"/>
          <w:szCs w:val="28"/>
          <w:lang w:eastAsia="zh-CN"/>
        </w:rPr>
        <w:t>.</w:t>
      </w:r>
      <w:r>
        <w:rPr>
          <w:rFonts w:hint="eastAsia" w:ascii="仿宋" w:hAnsi="仿宋" w:eastAsia="仿宋" w:cs="楷体"/>
          <w:bCs w:val="0"/>
          <w:sz w:val="28"/>
          <w:szCs w:val="28"/>
        </w:rPr>
        <w:t>3教师队伍</w:t>
      </w:r>
      <w:bookmarkEnd w:id="5"/>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1</w:t>
      </w:r>
      <w:r>
        <w:rPr>
          <w:rFonts w:hint="eastAsia" w:ascii="仿宋" w:hAnsi="仿宋" w:eastAsia="仿宋" w:cs="仿宋_GB2312"/>
          <w:sz w:val="28"/>
          <w:szCs w:val="28"/>
          <w:lang w:eastAsia="zh-CN"/>
        </w:rPr>
        <w:t>.</w:t>
      </w:r>
      <w:r>
        <w:rPr>
          <w:rFonts w:hint="eastAsia" w:ascii="仿宋" w:hAnsi="仿宋" w:eastAsia="仿宋" w:cs="仿宋_GB2312"/>
          <w:b/>
          <w:bCs/>
          <w:sz w:val="28"/>
          <w:szCs w:val="28"/>
        </w:rPr>
        <w:t>师资队伍总体情况</w:t>
      </w:r>
      <w:r>
        <w:rPr>
          <w:rFonts w:hint="eastAsia" w:ascii="仿宋" w:hAnsi="仿宋" w:eastAsia="仿宋" w:cs="仿宋_GB2312"/>
          <w:b/>
          <w:bCs/>
          <w:sz w:val="28"/>
          <w:szCs w:val="28"/>
          <w:lang w:eastAsia="zh-CN"/>
        </w:rPr>
        <w:t>：</w:t>
      </w:r>
      <w:r>
        <w:rPr>
          <w:rFonts w:hint="eastAsia" w:ascii="仿宋" w:hAnsi="仿宋" w:eastAsia="仿宋" w:cs="仿宋_GB2312"/>
          <w:sz w:val="28"/>
          <w:szCs w:val="28"/>
        </w:rPr>
        <w:t>201</w:t>
      </w:r>
      <w:r>
        <w:rPr>
          <w:rFonts w:hint="eastAsia" w:ascii="仿宋" w:hAnsi="仿宋" w:eastAsia="仿宋" w:cs="仿宋_GB2312"/>
          <w:sz w:val="28"/>
          <w:szCs w:val="28"/>
          <w:lang w:eastAsia="zh-CN"/>
        </w:rPr>
        <w:t>9-2020</w:t>
      </w:r>
      <w:r>
        <w:rPr>
          <w:rFonts w:hint="eastAsia" w:ascii="仿宋" w:hAnsi="仿宋" w:eastAsia="仿宋" w:cs="仿宋_GB2312"/>
          <w:sz w:val="28"/>
          <w:szCs w:val="28"/>
        </w:rPr>
        <w:t>学年，全市中等职业学校教职工总数为</w:t>
      </w:r>
      <w:r>
        <w:rPr>
          <w:rFonts w:hint="eastAsia" w:ascii="仿宋" w:hAnsi="仿宋" w:eastAsia="仿宋" w:cs="仿宋_GB2312"/>
          <w:sz w:val="28"/>
          <w:szCs w:val="28"/>
          <w:lang w:eastAsia="zh-CN"/>
        </w:rPr>
        <w:t>2492</w:t>
      </w:r>
      <w:r>
        <w:rPr>
          <w:rFonts w:hint="eastAsia" w:ascii="仿宋" w:hAnsi="仿宋" w:eastAsia="仿宋" w:cs="仿宋_GB2312"/>
          <w:sz w:val="28"/>
          <w:szCs w:val="28"/>
        </w:rPr>
        <w:t>人，专任教师</w:t>
      </w:r>
      <w:r>
        <w:rPr>
          <w:rFonts w:hint="eastAsia" w:ascii="仿宋" w:hAnsi="仿宋" w:eastAsia="仿宋" w:cs="仿宋_GB2312"/>
          <w:sz w:val="28"/>
          <w:szCs w:val="28"/>
          <w:lang w:eastAsia="zh-CN"/>
        </w:rPr>
        <w:t>193</w:t>
      </w:r>
      <w:r>
        <w:rPr>
          <w:rFonts w:hint="eastAsia" w:ascii="仿宋" w:hAnsi="仿宋" w:eastAsia="仿宋" w:cs="仿宋_GB2312"/>
          <w:sz w:val="28"/>
          <w:szCs w:val="28"/>
        </w:rPr>
        <w:t>8人，</w:t>
      </w:r>
      <w:r>
        <w:rPr>
          <w:rFonts w:hint="eastAsia" w:ascii="仿宋" w:hAnsi="仿宋" w:eastAsia="仿宋" w:cs="仿宋_GB2312"/>
          <w:sz w:val="28"/>
          <w:szCs w:val="28"/>
          <w:lang w:eastAsia="zh-CN"/>
        </w:rPr>
        <w:t>兼职教师449人，双师型教师499人，</w:t>
      </w:r>
      <w:r>
        <w:rPr>
          <w:rFonts w:hint="eastAsia" w:ascii="仿宋" w:hAnsi="仿宋" w:eastAsia="仿宋" w:cs="仿宋_GB2312"/>
          <w:sz w:val="28"/>
          <w:szCs w:val="28"/>
        </w:rPr>
        <w:t>专任教师占教职工总数比例为</w:t>
      </w:r>
      <w:r>
        <w:rPr>
          <w:rFonts w:hint="eastAsia" w:ascii="仿宋" w:hAnsi="仿宋" w:eastAsia="仿宋" w:cs="仿宋_GB2312"/>
          <w:sz w:val="28"/>
          <w:szCs w:val="28"/>
          <w:lang w:eastAsia="zh-CN"/>
        </w:rPr>
        <w:t>78%</w:t>
      </w:r>
      <w:r>
        <w:rPr>
          <w:rFonts w:hint="eastAsia" w:ascii="仿宋" w:hAnsi="仿宋" w:eastAsia="仿宋" w:cs="仿宋_GB2312"/>
          <w:sz w:val="28"/>
          <w:szCs w:val="28"/>
        </w:rPr>
        <w:t>，</w:t>
      </w:r>
      <w:r>
        <w:rPr>
          <w:rFonts w:hint="eastAsia" w:ascii="仿宋" w:hAnsi="仿宋" w:eastAsia="仿宋" w:cs="仿宋_GB2312"/>
          <w:sz w:val="28"/>
          <w:szCs w:val="28"/>
          <w:lang w:eastAsia="zh-CN"/>
        </w:rPr>
        <w:t>兼职教师</w:t>
      </w:r>
      <w:r>
        <w:rPr>
          <w:rFonts w:hint="eastAsia" w:ascii="仿宋" w:hAnsi="仿宋" w:eastAsia="仿宋" w:cs="仿宋_GB2312"/>
          <w:sz w:val="28"/>
          <w:szCs w:val="28"/>
        </w:rPr>
        <w:t>占教职工总数比例为</w:t>
      </w:r>
      <w:r>
        <w:rPr>
          <w:rFonts w:hint="eastAsia" w:ascii="仿宋" w:hAnsi="仿宋" w:eastAsia="仿宋" w:cs="仿宋_GB2312"/>
          <w:sz w:val="28"/>
          <w:szCs w:val="28"/>
          <w:lang w:eastAsia="zh-CN"/>
        </w:rPr>
        <w:t>20%，</w:t>
      </w:r>
      <w:r>
        <w:rPr>
          <w:rFonts w:hint="eastAsia" w:ascii="仿宋" w:hAnsi="仿宋" w:eastAsia="仿宋" w:cs="仿宋_GB2312"/>
          <w:sz w:val="28"/>
          <w:szCs w:val="28"/>
        </w:rPr>
        <w:t>学生数与专任教师数的比例为</w:t>
      </w:r>
      <w:r>
        <w:rPr>
          <w:rFonts w:hint="eastAsia" w:ascii="仿宋" w:hAnsi="仿宋" w:eastAsia="仿宋" w:cs="仿宋_GB2312"/>
          <w:sz w:val="28"/>
          <w:szCs w:val="28"/>
          <w:lang w:eastAsia="zh-CN"/>
        </w:rPr>
        <w:t>11.56:1，双师型教师占</w:t>
      </w:r>
      <w:r>
        <w:rPr>
          <w:rFonts w:hint="eastAsia" w:ascii="仿宋" w:hAnsi="仿宋" w:eastAsia="仿宋" w:cs="仿宋_GB2312"/>
          <w:sz w:val="28"/>
          <w:szCs w:val="28"/>
        </w:rPr>
        <w:t>专任教师的比例为</w:t>
      </w:r>
      <w:r>
        <w:rPr>
          <w:rFonts w:hint="eastAsia" w:ascii="仿宋" w:hAnsi="仿宋" w:eastAsia="仿宋" w:cs="仿宋_GB2312"/>
          <w:sz w:val="28"/>
          <w:szCs w:val="28"/>
          <w:lang w:eastAsia="zh-CN"/>
        </w:rPr>
        <w:t>31%。</w:t>
      </w:r>
    </w:p>
    <w:p>
      <w:pPr>
        <w:spacing w:line="360" w:lineRule="auto"/>
        <w:ind w:firstLine="560"/>
        <w:jc w:val="both"/>
        <w:rPr>
          <w:rFonts w:ascii="仿宋" w:hAnsi="仿宋" w:eastAsia="仿宋" w:cs="仿宋_GB2312"/>
          <w:sz w:val="28"/>
          <w:szCs w:val="28"/>
          <w:lang w:eastAsia="zh-CN"/>
        </w:rPr>
      </w:pPr>
      <w:r>
        <w:rPr>
          <w:rFonts w:hint="eastAsia" w:ascii="仿宋" w:hAnsi="仿宋" w:eastAsia="仿宋" w:cs="仿宋_GB2312"/>
          <w:sz w:val="28"/>
          <w:szCs w:val="28"/>
        </w:rPr>
        <w:t>2</w:t>
      </w:r>
      <w:r>
        <w:rPr>
          <w:rFonts w:hint="eastAsia" w:ascii="仿宋" w:hAnsi="仿宋" w:eastAsia="仿宋" w:cs="仿宋_GB2312"/>
          <w:sz w:val="28"/>
          <w:szCs w:val="28"/>
          <w:lang w:eastAsia="zh-CN"/>
        </w:rPr>
        <w:t>.</w:t>
      </w:r>
      <w:r>
        <w:rPr>
          <w:rFonts w:hint="eastAsia" w:ascii="仿宋" w:hAnsi="仿宋" w:eastAsia="仿宋" w:cs="仿宋_GB2312"/>
          <w:b/>
          <w:bCs/>
          <w:sz w:val="28"/>
          <w:szCs w:val="28"/>
        </w:rPr>
        <w:t>专任教师学历结构</w:t>
      </w:r>
      <w:r>
        <w:rPr>
          <w:rFonts w:hint="eastAsia" w:ascii="仿宋" w:hAnsi="仿宋" w:eastAsia="仿宋" w:cs="仿宋_GB2312"/>
          <w:b/>
          <w:bCs/>
          <w:sz w:val="28"/>
          <w:szCs w:val="28"/>
          <w:lang w:eastAsia="zh-CN"/>
        </w:rPr>
        <w:t>：</w:t>
      </w:r>
      <w:r>
        <w:rPr>
          <w:rFonts w:hint="eastAsia" w:ascii="仿宋" w:hAnsi="仿宋" w:eastAsia="仿宋" w:cs="仿宋_GB2312"/>
          <w:sz w:val="28"/>
          <w:szCs w:val="28"/>
        </w:rPr>
        <w:t>201</w:t>
      </w:r>
      <w:r>
        <w:rPr>
          <w:rFonts w:hint="eastAsia" w:ascii="仿宋" w:hAnsi="仿宋" w:eastAsia="仿宋" w:cs="仿宋_GB2312"/>
          <w:sz w:val="28"/>
          <w:szCs w:val="28"/>
          <w:lang w:eastAsia="zh-CN"/>
        </w:rPr>
        <w:t>9-2020</w:t>
      </w:r>
      <w:r>
        <w:rPr>
          <w:rFonts w:hint="eastAsia" w:ascii="仿宋" w:hAnsi="仿宋" w:eastAsia="仿宋" w:cs="仿宋_GB2312"/>
          <w:sz w:val="28"/>
          <w:szCs w:val="28"/>
        </w:rPr>
        <w:t>学年，全市中等职业学校专任教师中，博士学历0人，硕士学历</w:t>
      </w:r>
      <w:r>
        <w:rPr>
          <w:rFonts w:hint="eastAsia" w:ascii="仿宋" w:hAnsi="仿宋" w:eastAsia="仿宋" w:cs="仿宋_GB2312"/>
          <w:sz w:val="28"/>
          <w:szCs w:val="28"/>
          <w:lang w:eastAsia="zh-CN"/>
        </w:rPr>
        <w:t>131</w:t>
      </w:r>
      <w:r>
        <w:rPr>
          <w:rFonts w:hint="eastAsia" w:ascii="仿宋" w:hAnsi="仿宋" w:eastAsia="仿宋" w:cs="仿宋_GB2312"/>
          <w:sz w:val="28"/>
          <w:szCs w:val="28"/>
        </w:rPr>
        <w:t>人，本科学历</w:t>
      </w:r>
      <w:r>
        <w:rPr>
          <w:rFonts w:hint="eastAsia" w:ascii="仿宋" w:hAnsi="仿宋" w:eastAsia="仿宋" w:cs="仿宋_GB2312"/>
          <w:sz w:val="28"/>
          <w:szCs w:val="28"/>
          <w:lang w:eastAsia="zh-CN"/>
        </w:rPr>
        <w:t>1621</w:t>
      </w:r>
      <w:r>
        <w:rPr>
          <w:rFonts w:hint="eastAsia" w:ascii="仿宋" w:hAnsi="仿宋" w:eastAsia="仿宋" w:cs="仿宋_GB2312"/>
          <w:sz w:val="28"/>
          <w:szCs w:val="28"/>
        </w:rPr>
        <w:t>人，专科学历</w:t>
      </w:r>
      <w:r>
        <w:rPr>
          <w:rFonts w:hint="eastAsia" w:ascii="仿宋" w:hAnsi="仿宋" w:eastAsia="仿宋" w:cs="仿宋_GB2312"/>
          <w:sz w:val="28"/>
          <w:szCs w:val="28"/>
          <w:lang w:eastAsia="zh-CN"/>
        </w:rPr>
        <w:t>182</w:t>
      </w:r>
      <w:r>
        <w:rPr>
          <w:rFonts w:hint="eastAsia" w:ascii="仿宋" w:hAnsi="仿宋" w:eastAsia="仿宋" w:cs="仿宋_GB2312"/>
          <w:sz w:val="28"/>
          <w:szCs w:val="28"/>
        </w:rPr>
        <w:t>人，高中及以下学历</w:t>
      </w:r>
      <w:r>
        <w:rPr>
          <w:rFonts w:hint="eastAsia" w:ascii="仿宋" w:hAnsi="仿宋" w:eastAsia="仿宋" w:cs="仿宋_GB2312"/>
          <w:sz w:val="28"/>
          <w:szCs w:val="28"/>
          <w:lang w:eastAsia="zh-CN"/>
        </w:rPr>
        <w:t>4</w:t>
      </w:r>
      <w:r>
        <w:rPr>
          <w:rFonts w:hint="eastAsia" w:ascii="仿宋" w:hAnsi="仿宋" w:eastAsia="仿宋" w:cs="仿宋_GB2312"/>
          <w:sz w:val="28"/>
          <w:szCs w:val="28"/>
        </w:rPr>
        <w:t>人。大学本科及以上学历占</w:t>
      </w:r>
      <w:r>
        <w:rPr>
          <w:rFonts w:hint="eastAsia" w:ascii="仿宋" w:hAnsi="仿宋" w:eastAsia="仿宋" w:cs="仿宋_GB2312"/>
          <w:sz w:val="28"/>
          <w:szCs w:val="28"/>
          <w:lang w:eastAsia="zh-CN"/>
        </w:rPr>
        <w:t>90.4%，硕士以上学历为7%。</w:t>
      </w:r>
    </w:p>
    <w:p>
      <w:pPr>
        <w:spacing w:line="360" w:lineRule="auto"/>
        <w:ind w:firstLine="560"/>
        <w:jc w:val="both"/>
        <w:rPr>
          <w:rFonts w:ascii="仿宋" w:hAnsi="仿宋" w:eastAsia="仿宋" w:cs="仿宋_GB2312"/>
          <w:sz w:val="28"/>
          <w:szCs w:val="28"/>
          <w:lang w:eastAsia="zh-CN"/>
        </w:rPr>
      </w:pPr>
      <w:r>
        <w:rPr>
          <w:rFonts w:hint="eastAsia" w:ascii="仿宋" w:hAnsi="仿宋" w:eastAsia="仿宋" w:cs="仿宋_GB2312"/>
          <w:sz w:val="28"/>
          <w:szCs w:val="28"/>
        </w:rPr>
        <w:t>3</w:t>
      </w:r>
      <w:r>
        <w:rPr>
          <w:rFonts w:hint="eastAsia" w:ascii="仿宋" w:hAnsi="仿宋" w:eastAsia="仿宋" w:cs="仿宋_GB2312"/>
          <w:sz w:val="28"/>
          <w:szCs w:val="28"/>
          <w:lang w:eastAsia="zh-CN"/>
        </w:rPr>
        <w:t>.</w:t>
      </w:r>
      <w:r>
        <w:rPr>
          <w:rFonts w:hint="eastAsia" w:ascii="仿宋" w:hAnsi="仿宋" w:eastAsia="仿宋" w:cs="仿宋_GB2312"/>
          <w:b/>
          <w:bCs/>
          <w:sz w:val="28"/>
          <w:szCs w:val="28"/>
        </w:rPr>
        <w:t>专任教师职称结构</w:t>
      </w:r>
      <w:r>
        <w:rPr>
          <w:rFonts w:hint="eastAsia" w:ascii="仿宋" w:hAnsi="仿宋" w:eastAsia="仿宋" w:cs="仿宋_GB2312"/>
          <w:b/>
          <w:bCs/>
          <w:sz w:val="28"/>
          <w:szCs w:val="28"/>
          <w:lang w:eastAsia="zh-CN"/>
        </w:rPr>
        <w:t>：</w:t>
      </w:r>
      <w:r>
        <w:rPr>
          <w:rFonts w:hint="eastAsia" w:ascii="仿宋" w:hAnsi="仿宋" w:eastAsia="仿宋" w:cs="仿宋_GB2312"/>
          <w:sz w:val="28"/>
          <w:szCs w:val="28"/>
        </w:rPr>
        <w:t>201</w:t>
      </w:r>
      <w:r>
        <w:rPr>
          <w:rFonts w:hint="eastAsia" w:ascii="仿宋" w:hAnsi="仿宋" w:eastAsia="仿宋" w:cs="仿宋_GB2312"/>
          <w:sz w:val="28"/>
          <w:szCs w:val="28"/>
          <w:lang w:eastAsia="zh-CN"/>
        </w:rPr>
        <w:t>9-2020</w:t>
      </w:r>
      <w:r>
        <w:rPr>
          <w:rFonts w:hint="eastAsia" w:ascii="仿宋" w:hAnsi="仿宋" w:eastAsia="仿宋" w:cs="仿宋_GB2312"/>
          <w:sz w:val="28"/>
          <w:szCs w:val="28"/>
        </w:rPr>
        <w:t>学年</w:t>
      </w:r>
      <w:r>
        <w:rPr>
          <w:rFonts w:hint="eastAsia" w:ascii="仿宋" w:hAnsi="仿宋" w:eastAsia="仿宋" w:cs="仿宋_GB2312"/>
          <w:sz w:val="28"/>
          <w:szCs w:val="28"/>
          <w:lang w:eastAsia="zh-CN"/>
        </w:rPr>
        <w:t>，</w:t>
      </w:r>
      <w:r>
        <w:rPr>
          <w:rFonts w:hint="eastAsia" w:ascii="仿宋" w:hAnsi="仿宋" w:eastAsia="仿宋" w:cs="仿宋_GB2312"/>
          <w:sz w:val="28"/>
          <w:szCs w:val="28"/>
        </w:rPr>
        <w:t>中等职业学校专任教师中，具有正高级职称的</w:t>
      </w:r>
      <w:r>
        <w:rPr>
          <w:rFonts w:hint="eastAsia" w:ascii="仿宋" w:hAnsi="仿宋" w:eastAsia="仿宋" w:cs="仿宋_GB2312"/>
          <w:sz w:val="28"/>
          <w:szCs w:val="28"/>
          <w:lang w:eastAsia="zh-CN"/>
        </w:rPr>
        <w:t>1</w:t>
      </w:r>
      <w:r>
        <w:rPr>
          <w:rFonts w:hint="eastAsia" w:ascii="仿宋" w:hAnsi="仿宋" w:eastAsia="仿宋" w:cs="仿宋_GB2312"/>
          <w:sz w:val="28"/>
          <w:szCs w:val="28"/>
        </w:rPr>
        <w:t>人，副高级职称的</w:t>
      </w:r>
      <w:r>
        <w:rPr>
          <w:rFonts w:hint="eastAsia" w:ascii="仿宋" w:hAnsi="仿宋" w:eastAsia="仿宋" w:cs="仿宋_GB2312"/>
          <w:sz w:val="28"/>
          <w:szCs w:val="28"/>
          <w:lang w:eastAsia="zh-CN"/>
        </w:rPr>
        <w:t>423</w:t>
      </w:r>
      <w:r>
        <w:rPr>
          <w:rFonts w:hint="eastAsia" w:ascii="仿宋" w:hAnsi="仿宋" w:eastAsia="仿宋" w:cs="仿宋_GB2312"/>
          <w:sz w:val="28"/>
          <w:szCs w:val="28"/>
        </w:rPr>
        <w:t>人，中级职称</w:t>
      </w:r>
      <w:r>
        <w:rPr>
          <w:rFonts w:hint="eastAsia" w:ascii="仿宋" w:hAnsi="仿宋" w:eastAsia="仿宋" w:cs="仿宋_GB2312"/>
          <w:sz w:val="28"/>
          <w:szCs w:val="28"/>
          <w:lang w:eastAsia="zh-CN"/>
        </w:rPr>
        <w:t>735</w:t>
      </w:r>
      <w:r>
        <w:rPr>
          <w:rFonts w:hint="eastAsia" w:ascii="仿宋" w:hAnsi="仿宋" w:eastAsia="仿宋" w:cs="仿宋_GB2312"/>
          <w:sz w:val="28"/>
          <w:szCs w:val="28"/>
        </w:rPr>
        <w:t>人，初级职称</w:t>
      </w:r>
      <w:r>
        <w:rPr>
          <w:rFonts w:hint="eastAsia" w:ascii="仿宋" w:hAnsi="仿宋" w:eastAsia="仿宋" w:cs="仿宋_GB2312"/>
          <w:sz w:val="28"/>
          <w:szCs w:val="28"/>
          <w:lang w:eastAsia="zh-CN"/>
        </w:rPr>
        <w:t>544</w:t>
      </w:r>
      <w:r>
        <w:rPr>
          <w:rFonts w:hint="eastAsia" w:ascii="仿宋" w:hAnsi="仿宋" w:eastAsia="仿宋" w:cs="仿宋_GB2312"/>
          <w:sz w:val="28"/>
          <w:szCs w:val="28"/>
        </w:rPr>
        <w:t>人。</w:t>
      </w:r>
      <w:r>
        <w:rPr>
          <w:rFonts w:hint="eastAsia" w:ascii="仿宋" w:hAnsi="仿宋" w:eastAsia="仿宋" w:cs="仿宋_GB2312"/>
          <w:sz w:val="28"/>
          <w:szCs w:val="28"/>
          <w:lang w:eastAsia="zh-CN"/>
        </w:rPr>
        <w:t>高级职称以上占24.8%。</w:t>
      </w:r>
    </w:p>
    <w:p>
      <w:pPr>
        <w:pStyle w:val="2"/>
        <w:ind w:left="480" w:firstLine="480"/>
        <w:rPr>
          <w:rFonts w:eastAsia="华文仿宋"/>
          <w:lang w:eastAsia="zh-CN"/>
        </w:rPr>
      </w:pPr>
    </w:p>
    <w:p>
      <w:pPr>
        <w:pStyle w:val="4"/>
        <w:spacing w:before="0" w:after="0" w:line="360" w:lineRule="auto"/>
        <w:ind w:firstLine="560"/>
        <w:jc w:val="both"/>
        <w:rPr>
          <w:rFonts w:ascii="仿宋" w:hAnsi="仿宋" w:eastAsia="仿宋" w:cs="仿宋_GB2312"/>
          <w:kern w:val="0"/>
          <w:sz w:val="28"/>
          <w:szCs w:val="28"/>
        </w:rPr>
      </w:pPr>
      <w:bookmarkStart w:id="6" w:name="_Toc66798291"/>
      <w:r>
        <w:rPr>
          <w:rFonts w:hint="eastAsia" w:ascii="仿宋" w:hAnsi="仿宋" w:eastAsia="仿宋" w:cs="仿宋_GB2312"/>
          <w:kern w:val="0"/>
          <w:sz w:val="28"/>
          <w:szCs w:val="28"/>
        </w:rPr>
        <w:t>2．学生发展</w:t>
      </w:r>
      <w:bookmarkEnd w:id="6"/>
    </w:p>
    <w:p>
      <w:pPr>
        <w:pStyle w:val="4"/>
        <w:spacing w:before="0" w:after="0" w:line="360" w:lineRule="auto"/>
        <w:ind w:firstLine="560"/>
        <w:jc w:val="both"/>
        <w:rPr>
          <w:rFonts w:ascii="仿宋" w:hAnsi="仿宋" w:eastAsia="仿宋" w:cs="仿宋_GB2312"/>
          <w:kern w:val="0"/>
          <w:sz w:val="28"/>
          <w:szCs w:val="28"/>
        </w:rPr>
      </w:pPr>
      <w:bookmarkStart w:id="7" w:name="_Toc66798292"/>
      <w:r>
        <w:rPr>
          <w:rFonts w:hint="eastAsia" w:ascii="仿宋" w:hAnsi="仿宋" w:eastAsia="仿宋" w:cs="仿宋_GB2312"/>
          <w:kern w:val="0"/>
          <w:sz w:val="28"/>
          <w:szCs w:val="28"/>
        </w:rPr>
        <w:t>2</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1学生素质</w:t>
      </w:r>
      <w:bookmarkEnd w:id="7"/>
    </w:p>
    <w:p>
      <w:pPr>
        <w:pStyle w:val="2"/>
        <w:spacing w:line="360" w:lineRule="auto"/>
        <w:ind w:left="480" w:firstLine="560"/>
        <w:rPr>
          <w:rFonts w:eastAsia="仿宋" w:cs="仿宋_GB2312" w:asciiTheme="minorHAnsi" w:hAnsiTheme="minorHAnsi"/>
          <w:sz w:val="28"/>
          <w:szCs w:val="28"/>
          <w:lang w:val="uk-UA"/>
        </w:rPr>
      </w:pPr>
      <w:r>
        <w:rPr>
          <w:rFonts w:hint="eastAsia" w:ascii="仿宋" w:hAnsi="仿宋" w:eastAsia="仿宋" w:cs="仿宋_GB2312"/>
          <w:sz w:val="28"/>
          <w:szCs w:val="28"/>
        </w:rPr>
        <w:t>我市各中等职业学校严格贯彻落实</w:t>
      </w:r>
      <w:r>
        <w:rPr>
          <w:rFonts w:hint="eastAsia" w:ascii="仿宋" w:hAnsi="仿宋" w:eastAsia="仿宋" w:cs="仿宋_GB2312"/>
          <w:sz w:val="28"/>
          <w:szCs w:val="28"/>
          <w:lang w:eastAsia="zh-CN"/>
        </w:rPr>
        <w:t>国家、省、市教育大会精神以及</w:t>
      </w:r>
      <w:r>
        <w:rPr>
          <w:rFonts w:hint="eastAsia" w:ascii="仿宋" w:hAnsi="仿宋" w:eastAsia="仿宋" w:cs="仿宋_GB2312"/>
          <w:sz w:val="28"/>
          <w:szCs w:val="28"/>
        </w:rPr>
        <w:t>国家教育部有关德育课开设的相关政策，在课程设置、教学时间安排、教材选用等方面严格按照2014年修订的《德育课教学大纲》、《教育部关于中等职业学校德育课设置与教学安排的意见》（教职成【2008】6号）等文件要求进行。</w:t>
      </w:r>
    </w:p>
    <w:p>
      <w:pPr>
        <w:pStyle w:val="2"/>
        <w:spacing w:line="360" w:lineRule="auto"/>
        <w:ind w:left="0" w:leftChars="0" w:firstLine="0" w:firstLineChars="0"/>
        <w:jc w:val="center"/>
        <w:rPr>
          <w:rFonts w:ascii="仿宋" w:hAnsi="仿宋" w:eastAsia="仿宋"/>
          <w:b/>
          <w:lang w:eastAsia="zh-CN"/>
        </w:rPr>
      </w:pPr>
      <w:r>
        <w:rPr>
          <w:rFonts w:hint="eastAsia" w:ascii="仿宋" w:hAnsi="仿宋" w:eastAsia="仿宋"/>
          <w:b/>
          <w:lang w:eastAsia="zh-CN"/>
        </w:rPr>
        <w:t>表三：德育课程开设情况</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3"/>
        <w:gridCol w:w="1369"/>
        <w:gridCol w:w="1113"/>
        <w:gridCol w:w="2528"/>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1416" w:type="pct"/>
            <w:vAlign w:val="center"/>
          </w:tcPr>
          <w:p>
            <w:pPr>
              <w:jc w:val="center"/>
              <w:rPr>
                <w:rFonts w:ascii="仿宋" w:hAnsi="仿宋" w:eastAsia="仿宋" w:cs="仿宋_GB2312"/>
              </w:rPr>
            </w:pPr>
            <w:r>
              <w:rPr>
                <w:rFonts w:hint="eastAsia" w:ascii="仿宋" w:hAnsi="仿宋" w:eastAsia="仿宋" w:cs="仿宋_GB2312"/>
              </w:rPr>
              <w:t>课程名称</w:t>
            </w:r>
          </w:p>
        </w:tc>
        <w:tc>
          <w:tcPr>
            <w:tcW w:w="803" w:type="pct"/>
            <w:vAlign w:val="center"/>
          </w:tcPr>
          <w:p>
            <w:pPr>
              <w:jc w:val="center"/>
              <w:rPr>
                <w:rFonts w:ascii="仿宋" w:hAnsi="仿宋" w:eastAsia="仿宋" w:cs="仿宋_GB2312"/>
              </w:rPr>
            </w:pPr>
            <w:r>
              <w:rPr>
                <w:rFonts w:hint="eastAsia" w:ascii="仿宋" w:hAnsi="仿宋" w:eastAsia="仿宋" w:cs="仿宋_GB2312"/>
              </w:rPr>
              <w:t>开设学期</w:t>
            </w:r>
          </w:p>
        </w:tc>
        <w:tc>
          <w:tcPr>
            <w:tcW w:w="653" w:type="pct"/>
            <w:vAlign w:val="center"/>
          </w:tcPr>
          <w:p>
            <w:pPr>
              <w:jc w:val="center"/>
              <w:rPr>
                <w:rFonts w:ascii="仿宋" w:hAnsi="仿宋" w:eastAsia="仿宋" w:cs="仿宋_GB2312"/>
              </w:rPr>
            </w:pPr>
            <w:r>
              <w:rPr>
                <w:rFonts w:hint="eastAsia" w:ascii="仿宋" w:hAnsi="仿宋" w:eastAsia="仿宋" w:cs="仿宋_GB2312"/>
              </w:rPr>
              <w:t>学时</w:t>
            </w:r>
          </w:p>
        </w:tc>
        <w:tc>
          <w:tcPr>
            <w:tcW w:w="1483" w:type="pct"/>
            <w:vAlign w:val="center"/>
          </w:tcPr>
          <w:p>
            <w:pPr>
              <w:jc w:val="center"/>
              <w:rPr>
                <w:rFonts w:ascii="仿宋" w:hAnsi="仿宋" w:eastAsia="仿宋" w:cs="仿宋_GB2312"/>
              </w:rPr>
            </w:pPr>
            <w:r>
              <w:rPr>
                <w:rFonts w:hint="eastAsia" w:ascii="仿宋" w:hAnsi="仿宋" w:eastAsia="仿宋" w:cs="仿宋_GB2312"/>
                <w:lang w:eastAsia="zh-CN"/>
              </w:rPr>
              <w:t>建议</w:t>
            </w:r>
            <w:r>
              <w:rPr>
                <w:rFonts w:hint="eastAsia" w:ascii="仿宋" w:hAnsi="仿宋" w:eastAsia="仿宋" w:cs="仿宋_GB2312"/>
              </w:rPr>
              <w:t>教材出版单位</w:t>
            </w:r>
          </w:p>
        </w:tc>
        <w:tc>
          <w:tcPr>
            <w:tcW w:w="645" w:type="pct"/>
            <w:vAlign w:val="center"/>
          </w:tcPr>
          <w:p>
            <w:pPr>
              <w:jc w:val="center"/>
              <w:rPr>
                <w:rFonts w:ascii="仿宋" w:hAnsi="仿宋" w:eastAsia="仿宋" w:cs="仿宋_GB2312"/>
              </w:rPr>
            </w:pPr>
            <w:r>
              <w:rPr>
                <w:rFonts w:hint="eastAsia" w:ascii="仿宋" w:hAnsi="仿宋" w:eastAsia="仿宋" w:cs="仿宋_GB231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16" w:type="pct"/>
            <w:vAlign w:val="center"/>
          </w:tcPr>
          <w:p>
            <w:pPr>
              <w:jc w:val="center"/>
              <w:rPr>
                <w:rFonts w:ascii="仿宋" w:hAnsi="仿宋" w:eastAsia="仿宋" w:cs="仿宋_GB2312"/>
              </w:rPr>
            </w:pPr>
            <w:r>
              <w:rPr>
                <w:rFonts w:hint="eastAsia" w:ascii="仿宋" w:hAnsi="仿宋" w:eastAsia="仿宋" w:cs="仿宋_GB2312"/>
              </w:rPr>
              <w:t>职业生涯规划</w:t>
            </w:r>
          </w:p>
        </w:tc>
        <w:tc>
          <w:tcPr>
            <w:tcW w:w="803" w:type="pct"/>
            <w:vAlign w:val="center"/>
          </w:tcPr>
          <w:p>
            <w:pPr>
              <w:jc w:val="center"/>
              <w:rPr>
                <w:rFonts w:ascii="仿宋" w:hAnsi="仿宋" w:eastAsia="仿宋" w:cs="仿宋_GB2312"/>
              </w:rPr>
            </w:pPr>
            <w:r>
              <w:rPr>
                <w:rFonts w:hint="eastAsia" w:ascii="仿宋" w:hAnsi="仿宋" w:eastAsia="仿宋" w:cs="仿宋_GB2312"/>
              </w:rPr>
              <w:t>一</w:t>
            </w:r>
          </w:p>
        </w:tc>
        <w:tc>
          <w:tcPr>
            <w:tcW w:w="653" w:type="pct"/>
            <w:vAlign w:val="center"/>
          </w:tcPr>
          <w:p>
            <w:pPr>
              <w:jc w:val="center"/>
              <w:rPr>
                <w:rFonts w:ascii="仿宋" w:hAnsi="仿宋" w:eastAsia="仿宋" w:cs="仿宋_GB2312"/>
              </w:rPr>
            </w:pPr>
            <w:r>
              <w:rPr>
                <w:rFonts w:hint="eastAsia" w:ascii="仿宋" w:hAnsi="仿宋" w:eastAsia="仿宋" w:cs="仿宋_GB2312"/>
              </w:rPr>
              <w:t>34-36</w:t>
            </w:r>
          </w:p>
        </w:tc>
        <w:tc>
          <w:tcPr>
            <w:tcW w:w="1483" w:type="pct"/>
            <w:vAlign w:val="center"/>
          </w:tcPr>
          <w:p>
            <w:pPr>
              <w:jc w:val="center"/>
              <w:rPr>
                <w:rFonts w:ascii="仿宋" w:hAnsi="仿宋" w:eastAsia="仿宋" w:cs="仿宋_GB2312"/>
              </w:rPr>
            </w:pPr>
            <w:r>
              <w:rPr>
                <w:rFonts w:hint="eastAsia" w:ascii="仿宋" w:hAnsi="仿宋" w:eastAsia="仿宋" w:cs="仿宋_GB2312"/>
                <w:lang w:eastAsia="zh-CN"/>
              </w:rPr>
              <w:t>人民教育出版社</w:t>
            </w:r>
          </w:p>
        </w:tc>
        <w:tc>
          <w:tcPr>
            <w:tcW w:w="645" w:type="pct"/>
            <w:vAlign w:val="center"/>
          </w:tcPr>
          <w:p>
            <w:pPr>
              <w:jc w:val="center"/>
              <w:rPr>
                <w:rFonts w:ascii="仿宋" w:hAnsi="仿宋" w:eastAsia="仿宋" w:cs="仿宋_GB2312"/>
              </w:rPr>
            </w:pPr>
            <w:r>
              <w:rPr>
                <w:rFonts w:hint="eastAsia" w:ascii="仿宋" w:hAnsi="仿宋" w:eastAsia="仿宋" w:cs="仿宋_GB2312"/>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416" w:type="pct"/>
            <w:vAlign w:val="center"/>
          </w:tcPr>
          <w:p>
            <w:pPr>
              <w:jc w:val="center"/>
              <w:rPr>
                <w:rFonts w:ascii="仿宋" w:hAnsi="仿宋" w:eastAsia="仿宋" w:cs="仿宋_GB2312"/>
              </w:rPr>
            </w:pPr>
            <w:r>
              <w:rPr>
                <w:rFonts w:hint="eastAsia" w:ascii="仿宋" w:hAnsi="仿宋" w:eastAsia="仿宋" w:cs="仿宋_GB2312"/>
              </w:rPr>
              <w:t>职业的道德法律</w:t>
            </w:r>
          </w:p>
        </w:tc>
        <w:tc>
          <w:tcPr>
            <w:tcW w:w="803" w:type="pct"/>
            <w:vAlign w:val="center"/>
          </w:tcPr>
          <w:p>
            <w:pPr>
              <w:jc w:val="center"/>
              <w:rPr>
                <w:rFonts w:ascii="仿宋" w:hAnsi="仿宋" w:eastAsia="仿宋" w:cs="仿宋_GB2312"/>
              </w:rPr>
            </w:pPr>
            <w:r>
              <w:rPr>
                <w:rFonts w:hint="eastAsia" w:ascii="仿宋" w:hAnsi="仿宋" w:eastAsia="仿宋" w:cs="仿宋_GB2312"/>
              </w:rPr>
              <w:t>二</w:t>
            </w:r>
          </w:p>
        </w:tc>
        <w:tc>
          <w:tcPr>
            <w:tcW w:w="653" w:type="pct"/>
            <w:vAlign w:val="center"/>
          </w:tcPr>
          <w:p>
            <w:pPr>
              <w:jc w:val="center"/>
              <w:rPr>
                <w:rFonts w:ascii="仿宋" w:hAnsi="仿宋" w:eastAsia="仿宋" w:cs="仿宋_GB2312"/>
              </w:rPr>
            </w:pPr>
            <w:r>
              <w:rPr>
                <w:rFonts w:hint="eastAsia" w:ascii="仿宋" w:hAnsi="仿宋" w:eastAsia="仿宋" w:cs="仿宋_GB2312"/>
              </w:rPr>
              <w:t>34-36</w:t>
            </w:r>
          </w:p>
        </w:tc>
        <w:tc>
          <w:tcPr>
            <w:tcW w:w="1483" w:type="pct"/>
            <w:vAlign w:val="center"/>
          </w:tcPr>
          <w:p>
            <w:pPr>
              <w:jc w:val="center"/>
              <w:rPr>
                <w:rFonts w:ascii="仿宋" w:hAnsi="仿宋" w:eastAsia="仿宋" w:cs="仿宋_GB2312"/>
              </w:rPr>
            </w:pPr>
            <w:r>
              <w:rPr>
                <w:rFonts w:hint="eastAsia" w:ascii="仿宋" w:hAnsi="仿宋" w:eastAsia="仿宋" w:cs="仿宋_GB2312"/>
                <w:lang w:eastAsia="zh-CN"/>
              </w:rPr>
              <w:t>人民教育出版社</w:t>
            </w:r>
          </w:p>
        </w:tc>
        <w:tc>
          <w:tcPr>
            <w:tcW w:w="645" w:type="pct"/>
            <w:vAlign w:val="center"/>
          </w:tcPr>
          <w:p>
            <w:pPr>
              <w:jc w:val="center"/>
              <w:rPr>
                <w:rFonts w:ascii="仿宋" w:hAnsi="仿宋" w:eastAsia="仿宋" w:cs="仿宋_GB2312"/>
              </w:rPr>
            </w:pPr>
            <w:r>
              <w:rPr>
                <w:rFonts w:hint="eastAsia" w:ascii="仿宋" w:hAnsi="仿宋" w:eastAsia="仿宋" w:cs="仿宋_GB2312"/>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416" w:type="pct"/>
            <w:vAlign w:val="center"/>
          </w:tcPr>
          <w:p>
            <w:pPr>
              <w:jc w:val="center"/>
              <w:rPr>
                <w:rFonts w:ascii="仿宋" w:hAnsi="仿宋" w:eastAsia="仿宋" w:cs="仿宋_GB2312"/>
              </w:rPr>
            </w:pPr>
            <w:r>
              <w:rPr>
                <w:rFonts w:hint="eastAsia" w:ascii="仿宋" w:hAnsi="仿宋" w:eastAsia="仿宋" w:cs="仿宋_GB2312"/>
              </w:rPr>
              <w:t>经济政治与社会</w:t>
            </w:r>
          </w:p>
        </w:tc>
        <w:tc>
          <w:tcPr>
            <w:tcW w:w="803" w:type="pct"/>
            <w:vAlign w:val="center"/>
          </w:tcPr>
          <w:p>
            <w:pPr>
              <w:jc w:val="center"/>
              <w:rPr>
                <w:rFonts w:ascii="仿宋" w:hAnsi="仿宋" w:eastAsia="仿宋" w:cs="仿宋_GB2312"/>
              </w:rPr>
            </w:pPr>
            <w:r>
              <w:rPr>
                <w:rFonts w:hint="eastAsia" w:ascii="仿宋" w:hAnsi="仿宋" w:eastAsia="仿宋" w:cs="仿宋_GB2312"/>
              </w:rPr>
              <w:t>三</w:t>
            </w:r>
          </w:p>
        </w:tc>
        <w:tc>
          <w:tcPr>
            <w:tcW w:w="653" w:type="pct"/>
            <w:vAlign w:val="center"/>
          </w:tcPr>
          <w:p>
            <w:pPr>
              <w:jc w:val="center"/>
              <w:rPr>
                <w:rFonts w:ascii="仿宋" w:hAnsi="仿宋" w:eastAsia="仿宋" w:cs="仿宋_GB2312"/>
              </w:rPr>
            </w:pPr>
            <w:r>
              <w:rPr>
                <w:rFonts w:hint="eastAsia" w:ascii="仿宋" w:hAnsi="仿宋" w:eastAsia="仿宋" w:cs="仿宋_GB2312"/>
              </w:rPr>
              <w:t>34-36</w:t>
            </w:r>
          </w:p>
        </w:tc>
        <w:tc>
          <w:tcPr>
            <w:tcW w:w="1483" w:type="pct"/>
            <w:vAlign w:val="center"/>
          </w:tcPr>
          <w:p>
            <w:pPr>
              <w:jc w:val="center"/>
              <w:rPr>
                <w:rFonts w:ascii="仿宋" w:hAnsi="仿宋" w:eastAsia="仿宋" w:cs="仿宋_GB2312"/>
              </w:rPr>
            </w:pPr>
            <w:r>
              <w:rPr>
                <w:rFonts w:hint="eastAsia" w:ascii="仿宋" w:hAnsi="仿宋" w:eastAsia="仿宋" w:cs="仿宋_GB2312"/>
                <w:lang w:eastAsia="zh-CN"/>
              </w:rPr>
              <w:t>人民教育出版社</w:t>
            </w:r>
          </w:p>
        </w:tc>
        <w:tc>
          <w:tcPr>
            <w:tcW w:w="645" w:type="pct"/>
            <w:vAlign w:val="center"/>
          </w:tcPr>
          <w:p>
            <w:pPr>
              <w:jc w:val="center"/>
              <w:rPr>
                <w:rFonts w:ascii="仿宋" w:hAnsi="仿宋" w:eastAsia="仿宋" w:cs="仿宋_GB2312"/>
              </w:rPr>
            </w:pPr>
            <w:r>
              <w:rPr>
                <w:rFonts w:hint="eastAsia" w:ascii="仿宋" w:hAnsi="仿宋" w:eastAsia="仿宋" w:cs="仿宋_GB2312"/>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416" w:type="pct"/>
            <w:vAlign w:val="center"/>
          </w:tcPr>
          <w:p>
            <w:pPr>
              <w:jc w:val="center"/>
              <w:rPr>
                <w:rFonts w:ascii="仿宋" w:hAnsi="仿宋" w:eastAsia="仿宋" w:cs="仿宋_GB2312"/>
              </w:rPr>
            </w:pPr>
            <w:r>
              <w:rPr>
                <w:rFonts w:hint="eastAsia" w:ascii="仿宋" w:hAnsi="仿宋" w:eastAsia="仿宋" w:cs="仿宋_GB2312"/>
              </w:rPr>
              <w:t>哲学与人生</w:t>
            </w:r>
          </w:p>
        </w:tc>
        <w:tc>
          <w:tcPr>
            <w:tcW w:w="803" w:type="pct"/>
            <w:vAlign w:val="center"/>
          </w:tcPr>
          <w:p>
            <w:pPr>
              <w:jc w:val="center"/>
              <w:rPr>
                <w:rFonts w:ascii="仿宋" w:hAnsi="仿宋" w:eastAsia="仿宋" w:cs="仿宋_GB2312"/>
              </w:rPr>
            </w:pPr>
            <w:r>
              <w:rPr>
                <w:rFonts w:hint="eastAsia" w:ascii="仿宋" w:hAnsi="仿宋" w:eastAsia="仿宋" w:cs="仿宋_GB2312"/>
              </w:rPr>
              <w:t>四</w:t>
            </w:r>
          </w:p>
        </w:tc>
        <w:tc>
          <w:tcPr>
            <w:tcW w:w="653" w:type="pct"/>
            <w:vAlign w:val="center"/>
          </w:tcPr>
          <w:p>
            <w:pPr>
              <w:jc w:val="center"/>
              <w:rPr>
                <w:rFonts w:ascii="仿宋" w:hAnsi="仿宋" w:eastAsia="仿宋" w:cs="仿宋_GB2312"/>
              </w:rPr>
            </w:pPr>
            <w:r>
              <w:rPr>
                <w:rFonts w:hint="eastAsia" w:ascii="仿宋" w:hAnsi="仿宋" w:eastAsia="仿宋" w:cs="仿宋_GB2312"/>
              </w:rPr>
              <w:t>34-36</w:t>
            </w:r>
          </w:p>
        </w:tc>
        <w:tc>
          <w:tcPr>
            <w:tcW w:w="1483" w:type="pct"/>
            <w:vAlign w:val="center"/>
          </w:tcPr>
          <w:p>
            <w:pPr>
              <w:jc w:val="center"/>
              <w:rPr>
                <w:rFonts w:ascii="仿宋" w:hAnsi="仿宋" w:eastAsia="仿宋" w:cs="仿宋_GB2312"/>
              </w:rPr>
            </w:pPr>
            <w:r>
              <w:rPr>
                <w:rFonts w:hint="eastAsia" w:ascii="仿宋" w:hAnsi="仿宋" w:eastAsia="仿宋" w:cs="仿宋_GB2312"/>
                <w:lang w:eastAsia="zh-CN"/>
              </w:rPr>
              <w:t>人民教育出版社</w:t>
            </w:r>
          </w:p>
        </w:tc>
        <w:tc>
          <w:tcPr>
            <w:tcW w:w="645" w:type="pct"/>
            <w:vAlign w:val="center"/>
          </w:tcPr>
          <w:p>
            <w:pPr>
              <w:jc w:val="center"/>
              <w:rPr>
                <w:rFonts w:ascii="仿宋" w:hAnsi="仿宋" w:eastAsia="仿宋" w:cs="仿宋_GB2312"/>
              </w:rPr>
            </w:pPr>
            <w:r>
              <w:rPr>
                <w:rFonts w:hint="eastAsia" w:ascii="仿宋" w:hAnsi="仿宋" w:eastAsia="仿宋" w:cs="仿宋_GB2312"/>
              </w:rPr>
              <w:t>必修</w:t>
            </w:r>
          </w:p>
        </w:tc>
      </w:tr>
    </w:tbl>
    <w:p>
      <w:pPr>
        <w:pStyle w:val="2"/>
        <w:spacing w:line="360" w:lineRule="auto"/>
        <w:ind w:left="480" w:firstLine="480"/>
        <w:rPr>
          <w:rFonts w:ascii="仿宋" w:hAnsi="仿宋" w:eastAsia="仿宋"/>
          <w:color w:val="0000FF"/>
          <w:lang w:val="uk-UA"/>
        </w:rPr>
      </w:pPr>
    </w:p>
    <w:p>
      <w:pPr>
        <w:pStyle w:val="2"/>
        <w:spacing w:line="360" w:lineRule="auto"/>
        <w:ind w:left="0" w:leftChars="0" w:firstLine="0" w:firstLineChars="0"/>
        <w:jc w:val="center"/>
        <w:rPr>
          <w:rFonts w:ascii="仿宋" w:hAnsi="仿宋" w:eastAsia="仿宋"/>
          <w:color w:val="0000FF"/>
          <w:lang w:val="uk-UA"/>
        </w:rPr>
      </w:pPr>
      <w:r>
        <w:drawing>
          <wp:inline distT="0" distB="0" distL="0" distR="0">
            <wp:extent cx="4572000" cy="2743200"/>
            <wp:effectExtent l="0" t="0" r="0" b="0"/>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spacing w:line="360" w:lineRule="auto"/>
        <w:ind w:firstLine="720"/>
        <w:rPr>
          <w:rFonts w:eastAsia="仿宋" w:asciiTheme="minorHAnsi" w:hAnsiTheme="minorHAnsi"/>
          <w:sz w:val="28"/>
          <w:szCs w:val="28"/>
          <w:lang w:val="uk-UA"/>
        </w:rPr>
      </w:pPr>
      <w:r>
        <w:rPr>
          <w:rFonts w:hint="eastAsia" w:ascii="仿宋" w:hAnsi="仿宋" w:eastAsia="仿宋"/>
          <w:sz w:val="28"/>
          <w:szCs w:val="28"/>
        </w:rPr>
        <w:t>除了充分发挥德育课主渠道作用外，93%的学校能针对学生的年龄和心理特点，有目的、有计划地开展各种德育教育活动，如文明风采活动、市职业教育活动周、各种志愿者活动等，同时，各校工作的重心始终围绕学生专业能力培养，合理构建课程体系，深化改革教育教学，构建多元评价模式，丰富的德育活动促进了养成教育，提高了学生的综合德育素质学生文化课合格率达95.4%，专业技能课合格率达90%。</w:t>
      </w:r>
    </w:p>
    <w:p>
      <w:pPr>
        <w:pStyle w:val="2"/>
        <w:ind w:left="0" w:leftChars="0" w:firstLine="0" w:firstLineChars="0"/>
        <w:jc w:val="center"/>
        <w:rPr>
          <w:rFonts w:eastAsia="仿宋"/>
          <w:lang w:val="uk-UA"/>
        </w:rPr>
      </w:pPr>
      <w:r>
        <w:drawing>
          <wp:inline distT="0" distB="0" distL="0" distR="0">
            <wp:extent cx="4426585" cy="2949575"/>
            <wp:effectExtent l="0" t="0" r="0" b="317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436168" cy="2955665"/>
                    </a:xfrm>
                    <a:prstGeom prst="rect">
                      <a:avLst/>
                    </a:prstGeom>
                    <a:noFill/>
                    <a:ln>
                      <a:noFill/>
                    </a:ln>
                  </pic:spPr>
                </pic:pic>
              </a:graphicData>
            </a:graphic>
          </wp:inline>
        </w:drawing>
      </w:r>
    </w:p>
    <w:p>
      <w:pPr>
        <w:pStyle w:val="2"/>
        <w:ind w:left="0" w:leftChars="0" w:firstLine="0" w:firstLineChars="0"/>
        <w:jc w:val="center"/>
        <w:rPr>
          <w:rFonts w:ascii="黑体" w:hAnsi="黑体" w:eastAsia="黑体"/>
          <w:lang w:val="uk-UA"/>
        </w:rPr>
      </w:pPr>
      <w:r>
        <w:rPr>
          <w:rFonts w:hint="eastAsia" w:ascii="黑体" w:hAnsi="黑体" w:eastAsia="黑体"/>
          <w:lang w:val="uk-UA" w:eastAsia="zh-CN"/>
        </w:rPr>
        <w:t>教育局领导关注学校德育建设</w:t>
      </w:r>
    </w:p>
    <w:p>
      <w:pPr>
        <w:pStyle w:val="2"/>
        <w:ind w:left="0" w:leftChars="0" w:firstLine="0" w:firstLineChars="0"/>
        <w:jc w:val="center"/>
        <w:rPr>
          <w:rFonts w:eastAsia="仿宋"/>
          <w:lang w:val="uk-UA"/>
        </w:rPr>
      </w:pPr>
      <w:r>
        <w:drawing>
          <wp:inline distT="0" distB="0" distL="0" distR="0">
            <wp:extent cx="4438650" cy="44386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438650" cy="4438650"/>
                    </a:xfrm>
                    <a:prstGeom prst="rect">
                      <a:avLst/>
                    </a:prstGeom>
                    <a:noFill/>
                    <a:ln>
                      <a:noFill/>
                    </a:ln>
                  </pic:spPr>
                </pic:pic>
              </a:graphicData>
            </a:graphic>
          </wp:inline>
        </w:drawing>
      </w:r>
    </w:p>
    <w:p>
      <w:pPr>
        <w:pStyle w:val="2"/>
        <w:ind w:left="0" w:leftChars="0" w:firstLine="0" w:firstLineChars="0"/>
        <w:jc w:val="center"/>
        <w:rPr>
          <w:rFonts w:ascii="黑体" w:hAnsi="黑体" w:eastAsia="黑体"/>
          <w:lang w:val="uk-UA"/>
        </w:rPr>
      </w:pPr>
      <w:r>
        <w:rPr>
          <w:rFonts w:hint="eastAsia" w:ascii="黑体" w:hAnsi="黑体" w:eastAsia="黑体"/>
          <w:lang w:val="uk-UA" w:eastAsia="zh-CN"/>
        </w:rPr>
        <w:t>大同一职德育、思政工作室揭牌</w:t>
      </w:r>
    </w:p>
    <w:p>
      <w:pPr>
        <w:pStyle w:val="2"/>
        <w:ind w:left="0" w:leftChars="0" w:firstLine="0" w:firstLineChars="0"/>
        <w:jc w:val="center"/>
        <w:rPr>
          <w:rFonts w:eastAsia="仿宋"/>
          <w:lang w:val="uk-UA"/>
        </w:rPr>
      </w:pPr>
    </w:p>
    <w:p>
      <w:pPr>
        <w:pStyle w:val="2"/>
        <w:ind w:left="0" w:leftChars="0" w:firstLine="0" w:firstLineChars="0"/>
        <w:jc w:val="center"/>
        <w:rPr>
          <w:rFonts w:eastAsia="仿宋"/>
          <w:lang w:val="uk-UA"/>
        </w:rPr>
      </w:pPr>
    </w:p>
    <w:p>
      <w:pPr>
        <w:jc w:val="center"/>
        <w:rPr>
          <w:rFonts w:eastAsia="仿宋"/>
          <w:lang w:val="uk-UA"/>
        </w:rPr>
      </w:pPr>
      <w:r>
        <w:drawing>
          <wp:inline distT="0" distB="0" distL="0" distR="0">
            <wp:extent cx="4298950" cy="2952115"/>
            <wp:effectExtent l="0" t="0" r="6350"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303119" cy="2955092"/>
                    </a:xfrm>
                    <a:prstGeom prst="rect">
                      <a:avLst/>
                    </a:prstGeom>
                    <a:noFill/>
                    <a:ln>
                      <a:noFill/>
                    </a:ln>
                  </pic:spPr>
                </pic:pic>
              </a:graphicData>
            </a:graphic>
          </wp:inline>
        </w:drawing>
      </w:r>
    </w:p>
    <w:p>
      <w:pPr>
        <w:pStyle w:val="2"/>
        <w:ind w:left="0" w:leftChars="0" w:firstLine="0" w:firstLineChars="0"/>
        <w:jc w:val="center"/>
        <w:rPr>
          <w:rFonts w:ascii="黑体" w:hAnsi="黑体" w:eastAsia="黑体"/>
          <w:b/>
          <w:bCs/>
          <w:lang w:val="uk-UA" w:eastAsia="zh-CN"/>
        </w:rPr>
      </w:pPr>
    </w:p>
    <w:p>
      <w:pPr>
        <w:pStyle w:val="2"/>
        <w:ind w:left="0" w:leftChars="0" w:firstLine="0" w:firstLineChars="0"/>
        <w:jc w:val="center"/>
        <w:rPr>
          <w:rFonts w:ascii="黑体" w:hAnsi="黑体" w:eastAsia="黑体"/>
          <w:b/>
          <w:bCs/>
          <w:lang w:val="uk-UA" w:eastAsia="zh-CN"/>
        </w:rPr>
      </w:pPr>
      <w:r>
        <w:rPr>
          <w:rFonts w:hint="eastAsia" w:ascii="黑体" w:hAnsi="黑体" w:eastAsia="黑体"/>
          <w:b/>
          <w:bCs/>
          <w:lang w:val="uk-UA" w:eastAsia="zh-CN"/>
        </w:rPr>
        <w:t>大同一职中被评为2</w:t>
      </w:r>
      <w:r>
        <w:rPr>
          <w:rFonts w:ascii="黑体" w:hAnsi="黑体" w:eastAsia="黑体"/>
          <w:b/>
          <w:bCs/>
          <w:lang w:val="uk-UA" w:eastAsia="zh-CN"/>
        </w:rPr>
        <w:t>018</w:t>
      </w:r>
      <w:r>
        <w:rPr>
          <w:rFonts w:hint="eastAsia" w:ascii="黑体" w:hAnsi="黑体" w:eastAsia="黑体"/>
          <w:b/>
          <w:bCs/>
          <w:lang w:val="uk-UA" w:eastAsia="zh-CN"/>
        </w:rPr>
        <w:t>-</w:t>
      </w:r>
      <w:r>
        <w:rPr>
          <w:rFonts w:ascii="黑体" w:hAnsi="黑体" w:eastAsia="黑体"/>
          <w:b/>
          <w:bCs/>
          <w:lang w:val="uk-UA" w:eastAsia="zh-CN"/>
        </w:rPr>
        <w:t>2019</w:t>
      </w:r>
      <w:r>
        <w:rPr>
          <w:rFonts w:hint="eastAsia" w:ascii="黑体" w:hAnsi="黑体" w:eastAsia="黑体"/>
          <w:b/>
          <w:bCs/>
          <w:lang w:val="uk-UA" w:eastAsia="zh-CN"/>
        </w:rPr>
        <w:t>山西省文明校园</w:t>
      </w:r>
    </w:p>
    <w:p>
      <w:pPr>
        <w:pStyle w:val="2"/>
        <w:ind w:left="0" w:leftChars="0" w:firstLine="0" w:firstLineChars="0"/>
        <w:jc w:val="center"/>
        <w:rPr>
          <w:rFonts w:eastAsia="华文仿宋"/>
          <w:b/>
          <w:bCs/>
          <w:lang w:val="uk-UA" w:eastAsia="zh-CN"/>
        </w:rPr>
      </w:pPr>
      <w:r>
        <w:drawing>
          <wp:inline distT="0" distB="0" distL="0" distR="0">
            <wp:extent cx="4359275" cy="4359275"/>
            <wp:effectExtent l="0" t="0" r="3175" b="317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359275" cy="4359275"/>
                    </a:xfrm>
                    <a:prstGeom prst="rect">
                      <a:avLst/>
                    </a:prstGeom>
                    <a:noFill/>
                    <a:ln>
                      <a:noFill/>
                    </a:ln>
                  </pic:spPr>
                </pic:pic>
              </a:graphicData>
            </a:graphic>
          </wp:inline>
        </w:drawing>
      </w:r>
    </w:p>
    <w:p>
      <w:pPr>
        <w:pStyle w:val="2"/>
        <w:ind w:left="0" w:leftChars="0" w:firstLine="0" w:firstLineChars="0"/>
        <w:jc w:val="center"/>
        <w:rPr>
          <w:rFonts w:ascii="黑体" w:hAnsi="黑体" w:eastAsia="黑体"/>
          <w:b/>
          <w:bCs/>
          <w:lang w:val="uk-UA" w:eastAsia="zh-CN"/>
        </w:rPr>
      </w:pPr>
      <w:r>
        <w:rPr>
          <w:rFonts w:hint="eastAsia" w:ascii="黑体" w:hAnsi="黑体" w:eastAsia="黑体"/>
          <w:b/>
          <w:bCs/>
          <w:lang w:val="uk-UA" w:eastAsia="zh-CN"/>
        </w:rPr>
        <w:t>大同二职开展“节约粮食 你我同行”主题教育活动</w:t>
      </w:r>
    </w:p>
    <w:p>
      <w:pPr>
        <w:pStyle w:val="2"/>
        <w:ind w:left="0" w:leftChars="0" w:firstLine="0" w:firstLineChars="0"/>
        <w:jc w:val="center"/>
        <w:rPr>
          <w:rFonts w:ascii="黑体" w:hAnsi="黑体" w:eastAsia="黑体"/>
          <w:b/>
          <w:bCs/>
          <w:lang w:val="uk-UA" w:eastAsia="zh-CN"/>
        </w:rPr>
      </w:pPr>
    </w:p>
    <w:p>
      <w:pPr>
        <w:pStyle w:val="2"/>
        <w:ind w:left="0" w:leftChars="0" w:firstLine="0" w:firstLineChars="0"/>
        <w:jc w:val="center"/>
        <w:rPr>
          <w:rFonts w:ascii="黑体" w:hAnsi="黑体" w:eastAsia="黑体"/>
          <w:b/>
          <w:bCs/>
          <w:lang w:val="uk-UA" w:eastAsia="zh-CN"/>
        </w:rPr>
      </w:pPr>
    </w:p>
    <w:p>
      <w:pPr>
        <w:pStyle w:val="2"/>
        <w:ind w:left="0" w:leftChars="0" w:firstLine="0" w:firstLineChars="0"/>
        <w:jc w:val="center"/>
        <w:rPr>
          <w:rFonts w:ascii="黑体" w:hAnsi="黑体" w:eastAsia="黑体"/>
          <w:b/>
          <w:bCs/>
          <w:lang w:val="uk-UA" w:eastAsia="zh-CN"/>
        </w:rPr>
      </w:pPr>
      <w:r>
        <w:drawing>
          <wp:inline distT="0" distB="0" distL="0" distR="0">
            <wp:extent cx="4895850" cy="48958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895850" cy="4895850"/>
                    </a:xfrm>
                    <a:prstGeom prst="rect">
                      <a:avLst/>
                    </a:prstGeom>
                    <a:noFill/>
                    <a:ln>
                      <a:noFill/>
                    </a:ln>
                  </pic:spPr>
                </pic:pic>
              </a:graphicData>
            </a:graphic>
          </wp:inline>
        </w:drawing>
      </w:r>
    </w:p>
    <w:p>
      <w:pPr>
        <w:pStyle w:val="2"/>
        <w:spacing w:line="480" w:lineRule="auto"/>
        <w:ind w:left="0" w:leftChars="0" w:firstLine="0" w:firstLineChars="0"/>
        <w:jc w:val="center"/>
        <w:rPr>
          <w:rFonts w:ascii="黑体" w:hAnsi="黑体" w:eastAsia="黑体"/>
          <w:b/>
          <w:bCs/>
          <w:lang w:val="uk-UA" w:eastAsia="zh-CN"/>
        </w:rPr>
      </w:pPr>
      <w:r>
        <w:rPr>
          <w:rFonts w:hint="eastAsia" w:ascii="黑体" w:hAnsi="黑体" w:eastAsia="黑体"/>
          <w:b/>
          <w:bCs/>
          <w:lang w:val="uk-UA" w:eastAsia="zh-CN"/>
        </w:rPr>
        <w:t>大同幼儿师范组织“祖国在我心中”辩论会</w:t>
      </w:r>
    </w:p>
    <w:p>
      <w:pPr>
        <w:spacing w:line="480" w:lineRule="auto"/>
        <w:ind w:firstLine="720"/>
        <w:rPr>
          <w:rFonts w:ascii="仿宋" w:hAnsi="仿宋" w:eastAsia="仿宋"/>
          <w:sz w:val="28"/>
          <w:szCs w:val="28"/>
        </w:rPr>
      </w:pPr>
      <w:r>
        <w:rPr>
          <w:rFonts w:hint="eastAsia" w:ascii="仿宋" w:hAnsi="仿宋" w:eastAsia="仿宋"/>
          <w:sz w:val="28"/>
          <w:szCs w:val="28"/>
        </w:rPr>
        <w:t>各职业学校认真实施推进阳光体育活动，鼓励学生走向操场，走到阳光下。注重体育课教学，培养学生锻炼身体的兴趣和技能，要求学生平均每天参加体育锻炼一小时。通过活动，增强了学生体质，磨练了学生意志，增强了学生的团队意识，激发了学生健康、积极的生活热情，2020年全市中等职业学校学生体质测评合格率达91.2%。</w:t>
      </w:r>
    </w:p>
    <w:p>
      <w:pPr>
        <w:jc w:val="center"/>
        <w:rPr>
          <w:rFonts w:eastAsia="华文仿宋"/>
          <w:lang w:val="uk-UA"/>
        </w:rPr>
      </w:pPr>
      <w:r>
        <w:drawing>
          <wp:inline distT="0" distB="0" distL="0" distR="0">
            <wp:extent cx="5045075" cy="5045075"/>
            <wp:effectExtent l="0" t="0" r="3175" b="31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045075" cy="5045075"/>
                    </a:xfrm>
                    <a:prstGeom prst="rect">
                      <a:avLst/>
                    </a:prstGeom>
                    <a:noFill/>
                    <a:ln>
                      <a:noFill/>
                    </a:ln>
                  </pic:spPr>
                </pic:pic>
              </a:graphicData>
            </a:graphic>
          </wp:inline>
        </w:drawing>
      </w:r>
    </w:p>
    <w:p>
      <w:pPr>
        <w:jc w:val="center"/>
        <w:rPr>
          <w:rFonts w:ascii="黑体" w:hAnsi="黑体" w:eastAsia="黑体"/>
          <w:lang w:val="uk-UA"/>
        </w:rPr>
      </w:pPr>
      <w:r>
        <w:rPr>
          <w:rFonts w:hint="eastAsia" w:ascii="黑体" w:hAnsi="黑体" w:eastAsia="黑体"/>
          <w:b/>
          <w:bCs/>
          <w:lang w:val="uk-UA" w:eastAsia="zh-CN"/>
        </w:rPr>
        <w:t>2</w:t>
      </w:r>
      <w:r>
        <w:rPr>
          <w:rFonts w:ascii="黑体" w:hAnsi="黑体" w:eastAsia="黑体"/>
          <w:b/>
          <w:bCs/>
          <w:lang w:val="uk-UA" w:eastAsia="zh-CN"/>
        </w:rPr>
        <w:t>020</w:t>
      </w:r>
      <w:r>
        <w:rPr>
          <w:rFonts w:hint="eastAsia" w:ascii="黑体" w:hAnsi="黑体" w:eastAsia="黑体"/>
          <w:b/>
          <w:bCs/>
          <w:lang w:val="uk-UA" w:eastAsia="zh-CN"/>
        </w:rPr>
        <w:t>年大同一职中新生入校军训</w:t>
      </w:r>
    </w:p>
    <w:p>
      <w:pPr>
        <w:widowControl w:val="0"/>
        <w:spacing w:line="580" w:lineRule="exact"/>
        <w:ind w:firstLine="640"/>
        <w:jc w:val="both"/>
        <w:rPr>
          <w:rFonts w:ascii="仿宋" w:hAnsi="仿宋" w:eastAsia="仿宋" w:cs="仿宋_GB2312"/>
          <w:sz w:val="28"/>
          <w:szCs w:val="28"/>
          <w:lang w:eastAsia="zh-CN"/>
        </w:rPr>
      </w:pPr>
      <w:r>
        <w:rPr>
          <w:rFonts w:hint="eastAsia" w:ascii="仿宋" w:hAnsi="仿宋" w:eastAsia="仿宋" w:cs="仿宋_GB2312"/>
          <w:sz w:val="28"/>
          <w:szCs w:val="28"/>
        </w:rPr>
        <w:t>各中等职业学校按照理论课、实践技能课、顶岗实习、毕业考试四大模块对毕业生学业进行管理和考核，市教育局严格审核把关毕业证办理工作，</w:t>
      </w:r>
      <w:r>
        <w:rPr>
          <w:rFonts w:hint="eastAsia" w:ascii="仿宋" w:hAnsi="仿宋" w:eastAsia="仿宋" w:cs="仿宋_GB2312"/>
          <w:sz w:val="28"/>
          <w:szCs w:val="28"/>
          <w:lang w:eastAsia="zh-CN"/>
        </w:rPr>
        <w:t>2020</w:t>
      </w:r>
      <w:r>
        <w:rPr>
          <w:rFonts w:hint="eastAsia" w:ascii="仿宋" w:hAnsi="仿宋" w:eastAsia="仿宋" w:cs="仿宋_GB2312"/>
          <w:sz w:val="28"/>
          <w:szCs w:val="28"/>
        </w:rPr>
        <w:t>年中等职业学校学生毕业率9</w:t>
      </w:r>
      <w:r>
        <w:rPr>
          <w:rFonts w:hint="eastAsia" w:ascii="仿宋" w:hAnsi="仿宋" w:eastAsia="仿宋" w:cs="仿宋_GB2312"/>
          <w:sz w:val="28"/>
          <w:szCs w:val="28"/>
          <w:lang w:eastAsia="zh-CN"/>
        </w:rPr>
        <w:t>5</w:t>
      </w:r>
      <w:r>
        <w:rPr>
          <w:rFonts w:hint="eastAsia" w:ascii="仿宋" w:hAnsi="仿宋" w:eastAsia="仿宋" w:cs="仿宋_GB2312"/>
          <w:sz w:val="28"/>
          <w:szCs w:val="28"/>
        </w:rPr>
        <w:t>%，比上一年度提高</w:t>
      </w:r>
      <w:r>
        <w:rPr>
          <w:rFonts w:hint="eastAsia" w:ascii="仿宋" w:hAnsi="仿宋" w:eastAsia="仿宋" w:cs="仿宋_GB2312"/>
          <w:sz w:val="28"/>
          <w:szCs w:val="28"/>
          <w:lang w:eastAsia="zh-CN"/>
        </w:rPr>
        <w:t>4.75</w:t>
      </w:r>
      <w:r>
        <w:rPr>
          <w:rFonts w:hint="eastAsia" w:ascii="仿宋" w:hAnsi="仿宋" w:eastAsia="仿宋" w:cs="仿宋_GB2312"/>
          <w:sz w:val="28"/>
          <w:szCs w:val="28"/>
        </w:rPr>
        <w:t>%。通过全面发展和全面培养，学生在201</w:t>
      </w:r>
      <w:r>
        <w:rPr>
          <w:rFonts w:hint="eastAsia" w:ascii="仿宋" w:hAnsi="仿宋" w:eastAsia="仿宋" w:cs="仿宋_GB2312"/>
          <w:sz w:val="28"/>
          <w:szCs w:val="28"/>
          <w:lang w:eastAsia="zh-CN"/>
        </w:rPr>
        <w:t>9-2020</w:t>
      </w:r>
      <w:r>
        <w:rPr>
          <w:rFonts w:hint="eastAsia" w:ascii="仿宋" w:hAnsi="仿宋" w:eastAsia="仿宋" w:cs="仿宋_GB2312"/>
          <w:sz w:val="28"/>
          <w:szCs w:val="28"/>
        </w:rPr>
        <w:t>学年的公共基础课程合格率平均值</w:t>
      </w:r>
      <w:r>
        <w:rPr>
          <w:rFonts w:hint="eastAsia" w:ascii="仿宋" w:hAnsi="仿宋" w:eastAsia="仿宋" w:cs="仿宋_GB2312"/>
          <w:sz w:val="28"/>
          <w:szCs w:val="28"/>
          <w:lang w:eastAsia="zh-CN"/>
        </w:rPr>
        <w:t>为</w:t>
      </w:r>
      <w:r>
        <w:rPr>
          <w:rFonts w:hint="eastAsia" w:ascii="仿宋" w:hAnsi="仿宋" w:eastAsia="仿宋" w:cs="仿宋_GB2312"/>
          <w:sz w:val="28"/>
          <w:szCs w:val="28"/>
        </w:rPr>
        <w:t>94</w:t>
      </w:r>
      <w:r>
        <w:rPr>
          <w:rFonts w:hint="eastAsia" w:ascii="仿宋" w:hAnsi="仿宋" w:eastAsia="仿宋" w:cs="仿宋_GB2312"/>
          <w:sz w:val="28"/>
          <w:szCs w:val="28"/>
          <w:lang w:eastAsia="zh-CN"/>
        </w:rPr>
        <w:t>.88</w:t>
      </w:r>
      <w:r>
        <w:rPr>
          <w:rFonts w:hint="eastAsia" w:ascii="仿宋" w:hAnsi="仿宋" w:eastAsia="仿宋" w:cs="仿宋_GB2312"/>
          <w:sz w:val="28"/>
          <w:szCs w:val="28"/>
        </w:rPr>
        <w:t>%；专业技能课程合格率平均值</w:t>
      </w:r>
      <w:r>
        <w:rPr>
          <w:rFonts w:hint="eastAsia" w:ascii="仿宋" w:hAnsi="仿宋" w:eastAsia="仿宋" w:cs="仿宋_GB2312"/>
          <w:sz w:val="28"/>
          <w:szCs w:val="28"/>
          <w:lang w:eastAsia="zh-CN"/>
        </w:rPr>
        <w:t>为</w:t>
      </w:r>
      <w:r>
        <w:rPr>
          <w:rFonts w:hint="eastAsia" w:ascii="仿宋" w:hAnsi="仿宋" w:eastAsia="仿宋" w:cs="仿宋_GB2312"/>
          <w:sz w:val="28"/>
          <w:szCs w:val="28"/>
        </w:rPr>
        <w:t>9</w:t>
      </w:r>
      <w:r>
        <w:rPr>
          <w:rFonts w:hint="eastAsia" w:ascii="仿宋" w:hAnsi="仿宋" w:eastAsia="仿宋" w:cs="仿宋_GB2312"/>
          <w:sz w:val="28"/>
          <w:szCs w:val="28"/>
          <w:lang w:eastAsia="zh-CN"/>
        </w:rPr>
        <w:t>6</w:t>
      </w:r>
      <w:r>
        <w:rPr>
          <w:rFonts w:hint="eastAsia" w:ascii="仿宋" w:hAnsi="仿宋" w:eastAsia="仿宋" w:cs="仿宋_GB2312"/>
          <w:sz w:val="28"/>
          <w:szCs w:val="28"/>
        </w:rPr>
        <w:t>%；体质测评合格率平均值</w:t>
      </w:r>
      <w:r>
        <w:rPr>
          <w:rFonts w:hint="eastAsia" w:ascii="仿宋" w:hAnsi="仿宋" w:eastAsia="仿宋" w:cs="仿宋_GB2312"/>
          <w:sz w:val="28"/>
          <w:szCs w:val="28"/>
          <w:lang w:eastAsia="zh-CN"/>
        </w:rPr>
        <w:t>为</w:t>
      </w:r>
      <w:r>
        <w:rPr>
          <w:rFonts w:hint="eastAsia" w:ascii="仿宋" w:hAnsi="仿宋" w:eastAsia="仿宋" w:cs="仿宋_GB2312"/>
          <w:sz w:val="28"/>
          <w:szCs w:val="28"/>
        </w:rPr>
        <w:t>95</w:t>
      </w:r>
      <w:r>
        <w:rPr>
          <w:rFonts w:hint="eastAsia" w:ascii="仿宋" w:hAnsi="仿宋" w:eastAsia="仿宋" w:cs="仿宋_GB2312"/>
          <w:sz w:val="28"/>
          <w:szCs w:val="28"/>
          <w:lang w:eastAsia="zh-CN"/>
        </w:rPr>
        <w:t>.5</w:t>
      </w:r>
      <w:r>
        <w:rPr>
          <w:rFonts w:hint="eastAsia" w:ascii="仿宋" w:hAnsi="仿宋" w:eastAsia="仿宋" w:cs="仿宋_GB2312"/>
          <w:sz w:val="28"/>
          <w:szCs w:val="28"/>
        </w:rPr>
        <w:t>%；毕业生获取资格证书比例平均值79</w:t>
      </w:r>
      <w:r>
        <w:rPr>
          <w:rFonts w:hint="eastAsia" w:ascii="仿宋" w:hAnsi="仿宋" w:eastAsia="仿宋" w:cs="仿宋_GB2312"/>
          <w:sz w:val="28"/>
          <w:szCs w:val="28"/>
          <w:lang w:eastAsia="zh-CN"/>
        </w:rPr>
        <w:t>.</w:t>
      </w:r>
      <w:r>
        <w:rPr>
          <w:rFonts w:hint="eastAsia" w:ascii="仿宋" w:hAnsi="仿宋" w:eastAsia="仿宋" w:cs="仿宋_GB2312"/>
          <w:sz w:val="28"/>
          <w:szCs w:val="28"/>
        </w:rPr>
        <w:t>48%。</w:t>
      </w:r>
      <w:r>
        <w:rPr>
          <w:rFonts w:hint="eastAsia" w:ascii="仿宋" w:hAnsi="仿宋" w:eastAsia="仿宋" w:cs="仿宋_GB2312"/>
          <w:sz w:val="28"/>
          <w:szCs w:val="28"/>
          <w:lang w:eastAsia="zh-CN"/>
        </w:rPr>
        <w:t>全市各职业学校参加各级各类技能大赛，共获得66个省级奖项，1个国家级奖项。</w:t>
      </w:r>
    </w:p>
    <w:p>
      <w:pPr>
        <w:pStyle w:val="2"/>
        <w:ind w:left="480" w:firstLine="480"/>
        <w:rPr>
          <w:rFonts w:eastAsia="华文仿宋"/>
          <w:lang w:eastAsia="zh-CN"/>
        </w:rPr>
      </w:pPr>
    </w:p>
    <w:p>
      <w:pPr>
        <w:rPr>
          <w:rFonts w:ascii="仿宋" w:hAnsi="仿宋" w:eastAsia="仿宋" w:cs="仿宋_GB2312"/>
        </w:rPr>
      </w:pPr>
      <w:r>
        <w:rPr>
          <w:rFonts w:ascii="仿宋" w:hAnsi="仿宋" w:eastAsia="仿宋" w:cs="仿宋_GB2312"/>
        </w:rPr>
        <w:br w:type="page"/>
      </w:r>
    </w:p>
    <w:p>
      <w:pPr>
        <w:pStyle w:val="2"/>
        <w:spacing w:line="360" w:lineRule="auto"/>
        <w:ind w:left="0" w:leftChars="0" w:firstLine="0" w:firstLineChars="0"/>
        <w:jc w:val="center"/>
        <w:rPr>
          <w:rFonts w:eastAsia="仿宋" w:cs="仿宋_GB2312" w:asciiTheme="minorHAnsi" w:hAnsiTheme="minorHAnsi"/>
          <w:b/>
          <w:bCs/>
          <w:lang w:val="uk-UA"/>
        </w:rPr>
      </w:pPr>
      <w:r>
        <w:rPr>
          <w:rFonts w:hint="eastAsia" w:ascii="仿宋" w:hAnsi="仿宋" w:eastAsia="仿宋" w:cs="仿宋_GB2312"/>
          <w:b/>
          <w:bCs/>
        </w:rPr>
        <w:t>表</w:t>
      </w:r>
      <w:r>
        <w:rPr>
          <w:rFonts w:hint="eastAsia" w:ascii="仿宋" w:hAnsi="仿宋" w:eastAsia="仿宋" w:cs="仿宋_GB2312"/>
          <w:b/>
          <w:bCs/>
          <w:lang w:eastAsia="zh-CN"/>
        </w:rPr>
        <w:t>四</w:t>
      </w:r>
      <w:r>
        <w:rPr>
          <w:rFonts w:hint="eastAsia" w:ascii="仿宋" w:hAnsi="仿宋" w:eastAsia="仿宋" w:cs="仿宋_GB2312"/>
          <w:b/>
          <w:bCs/>
        </w:rPr>
        <w:t>：201</w:t>
      </w:r>
      <w:r>
        <w:rPr>
          <w:rFonts w:hint="eastAsia" w:ascii="仿宋" w:hAnsi="仿宋" w:eastAsia="仿宋" w:cs="仿宋_GB2312"/>
          <w:b/>
          <w:bCs/>
          <w:lang w:eastAsia="zh-CN"/>
        </w:rPr>
        <w:t>8</w:t>
      </w:r>
      <w:r>
        <w:rPr>
          <w:rFonts w:hint="eastAsia" w:ascii="仿宋" w:hAnsi="仿宋" w:eastAsia="仿宋" w:cs="仿宋_GB2312"/>
          <w:b/>
          <w:bCs/>
        </w:rPr>
        <w:t>年-</w:t>
      </w:r>
      <w:r>
        <w:rPr>
          <w:rFonts w:hint="eastAsia" w:ascii="仿宋" w:hAnsi="仿宋" w:eastAsia="仿宋" w:cs="仿宋_GB2312"/>
          <w:b/>
          <w:bCs/>
          <w:lang w:eastAsia="zh-CN"/>
        </w:rPr>
        <w:t>2020</w:t>
      </w:r>
      <w:r>
        <w:rPr>
          <w:rFonts w:hint="eastAsia" w:ascii="仿宋" w:hAnsi="仿宋" w:eastAsia="仿宋" w:cs="仿宋_GB2312"/>
          <w:b/>
          <w:bCs/>
        </w:rPr>
        <w:t>年大同市中等职业学校学生素质主要要素统计表</w:t>
      </w:r>
    </w:p>
    <w:tbl>
      <w:tblPr>
        <w:tblStyle w:val="14"/>
        <w:tblW w:w="495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98"/>
        <w:gridCol w:w="1208"/>
        <w:gridCol w:w="1208"/>
        <w:gridCol w:w="1284"/>
        <w:gridCol w:w="24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jc w:val="center"/>
        </w:trPr>
        <w:tc>
          <w:tcPr>
            <w:tcW w:w="1361" w:type="pct"/>
            <w:vAlign w:val="center"/>
          </w:tcPr>
          <w:p>
            <w:pPr>
              <w:jc w:val="center"/>
              <w:rPr>
                <w:rFonts w:ascii="仿宋" w:hAnsi="仿宋" w:eastAsia="仿宋"/>
                <w:b/>
              </w:rPr>
            </w:pPr>
            <w:r>
              <w:rPr>
                <w:rFonts w:hint="eastAsia" w:ascii="仿宋" w:hAnsi="仿宋" w:eastAsia="仿宋"/>
                <w:b/>
              </w:rPr>
              <w:t>内容</w:t>
            </w:r>
          </w:p>
        </w:tc>
        <w:tc>
          <w:tcPr>
            <w:tcW w:w="715" w:type="pct"/>
            <w:vAlign w:val="center"/>
          </w:tcPr>
          <w:p>
            <w:pPr>
              <w:jc w:val="center"/>
              <w:rPr>
                <w:rFonts w:ascii="仿宋" w:hAnsi="仿宋" w:eastAsia="仿宋"/>
                <w:b/>
              </w:rPr>
            </w:pPr>
            <w:r>
              <w:rPr>
                <w:rFonts w:hint="eastAsia" w:ascii="仿宋" w:hAnsi="仿宋" w:eastAsia="仿宋"/>
                <w:b/>
              </w:rPr>
              <w:t>2018年</w:t>
            </w:r>
          </w:p>
        </w:tc>
        <w:tc>
          <w:tcPr>
            <w:tcW w:w="715" w:type="pct"/>
            <w:vAlign w:val="center"/>
          </w:tcPr>
          <w:p>
            <w:pPr>
              <w:jc w:val="center"/>
              <w:rPr>
                <w:rFonts w:ascii="仿宋" w:hAnsi="仿宋" w:eastAsia="仿宋"/>
                <w:b/>
              </w:rPr>
            </w:pPr>
            <w:r>
              <w:rPr>
                <w:rFonts w:hint="eastAsia" w:ascii="仿宋" w:hAnsi="仿宋" w:eastAsia="仿宋"/>
                <w:b/>
                <w:lang w:eastAsia="zh-CN"/>
              </w:rPr>
              <w:t>2019</w:t>
            </w:r>
            <w:r>
              <w:rPr>
                <w:rFonts w:hint="eastAsia" w:ascii="仿宋" w:hAnsi="仿宋" w:eastAsia="仿宋"/>
                <w:b/>
              </w:rPr>
              <w:t>年</w:t>
            </w:r>
          </w:p>
        </w:tc>
        <w:tc>
          <w:tcPr>
            <w:tcW w:w="760" w:type="pct"/>
            <w:vAlign w:val="center"/>
          </w:tcPr>
          <w:p>
            <w:pPr>
              <w:jc w:val="center"/>
              <w:rPr>
                <w:rFonts w:ascii="仿宋" w:hAnsi="仿宋" w:eastAsia="仿宋"/>
                <w:b/>
                <w:lang w:eastAsia="zh-CN"/>
              </w:rPr>
            </w:pPr>
            <w:r>
              <w:rPr>
                <w:rFonts w:hint="eastAsia" w:ascii="仿宋" w:hAnsi="仿宋" w:eastAsia="仿宋"/>
                <w:b/>
                <w:lang w:eastAsia="zh-CN"/>
              </w:rPr>
              <w:t>2020年</w:t>
            </w:r>
          </w:p>
        </w:tc>
        <w:tc>
          <w:tcPr>
            <w:tcW w:w="1448" w:type="pct"/>
            <w:vAlign w:val="center"/>
          </w:tcPr>
          <w:p>
            <w:pPr>
              <w:jc w:val="center"/>
              <w:rPr>
                <w:rFonts w:ascii="仿宋" w:hAnsi="仿宋" w:eastAsia="仿宋"/>
                <w:b/>
              </w:rPr>
            </w:pPr>
            <w:r>
              <w:rPr>
                <w:rFonts w:hint="eastAsia" w:ascii="仿宋" w:hAnsi="仿宋" w:eastAsia="仿宋"/>
                <w:b/>
              </w:rPr>
              <w:t>变化情况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1361" w:type="pct"/>
            <w:vAlign w:val="center"/>
          </w:tcPr>
          <w:p>
            <w:pPr>
              <w:jc w:val="center"/>
              <w:rPr>
                <w:rFonts w:ascii="仿宋" w:hAnsi="仿宋" w:eastAsia="仿宋"/>
                <w:bCs/>
                <w:sz w:val="21"/>
                <w:szCs w:val="21"/>
              </w:rPr>
            </w:pPr>
            <w:r>
              <w:rPr>
                <w:rFonts w:hint="eastAsia" w:ascii="仿宋" w:hAnsi="仿宋" w:eastAsia="仿宋"/>
                <w:bCs/>
                <w:sz w:val="21"/>
                <w:szCs w:val="21"/>
              </w:rPr>
              <w:t>文化课合格率</w:t>
            </w:r>
          </w:p>
        </w:tc>
        <w:tc>
          <w:tcPr>
            <w:tcW w:w="715" w:type="pct"/>
            <w:vAlign w:val="center"/>
          </w:tcPr>
          <w:p>
            <w:pPr>
              <w:jc w:val="center"/>
              <w:rPr>
                <w:rFonts w:ascii="仿宋" w:hAnsi="仿宋" w:eastAsia="仿宋"/>
                <w:bCs/>
                <w:sz w:val="21"/>
                <w:szCs w:val="21"/>
              </w:rPr>
            </w:pPr>
            <w:r>
              <w:rPr>
                <w:rFonts w:hint="eastAsia" w:ascii="仿宋" w:hAnsi="仿宋" w:eastAsia="仿宋"/>
                <w:bCs/>
                <w:sz w:val="21"/>
                <w:szCs w:val="21"/>
              </w:rPr>
              <w:t>95</w:t>
            </w:r>
            <w:r>
              <w:rPr>
                <w:rFonts w:hint="eastAsia" w:ascii="仿宋" w:hAnsi="仿宋" w:eastAsia="仿宋"/>
                <w:bCs/>
                <w:sz w:val="21"/>
                <w:szCs w:val="21"/>
                <w:lang w:eastAsia="zh-CN"/>
              </w:rPr>
              <w:t>.</w:t>
            </w:r>
            <w:r>
              <w:rPr>
                <w:rFonts w:hint="eastAsia" w:ascii="仿宋" w:hAnsi="仿宋" w:eastAsia="仿宋"/>
                <w:bCs/>
                <w:sz w:val="21"/>
                <w:szCs w:val="21"/>
              </w:rPr>
              <w:t>10%</w:t>
            </w:r>
          </w:p>
        </w:tc>
        <w:tc>
          <w:tcPr>
            <w:tcW w:w="715" w:type="pct"/>
            <w:vAlign w:val="center"/>
          </w:tcPr>
          <w:p>
            <w:pPr>
              <w:jc w:val="center"/>
              <w:rPr>
                <w:rFonts w:ascii="仿宋" w:hAnsi="仿宋" w:eastAsia="仿宋"/>
                <w:bCs/>
                <w:sz w:val="21"/>
                <w:szCs w:val="21"/>
              </w:rPr>
            </w:pPr>
            <w:r>
              <w:rPr>
                <w:rFonts w:hint="eastAsia" w:ascii="仿宋" w:hAnsi="仿宋" w:eastAsia="仿宋"/>
                <w:bCs/>
                <w:sz w:val="21"/>
                <w:szCs w:val="21"/>
              </w:rPr>
              <w:t>94</w:t>
            </w:r>
            <w:r>
              <w:rPr>
                <w:rFonts w:hint="eastAsia" w:ascii="仿宋" w:hAnsi="仿宋" w:eastAsia="仿宋"/>
                <w:bCs/>
                <w:sz w:val="21"/>
                <w:szCs w:val="21"/>
                <w:lang w:eastAsia="zh-CN"/>
              </w:rPr>
              <w:t>.</w:t>
            </w:r>
            <w:r>
              <w:rPr>
                <w:rFonts w:hint="eastAsia" w:ascii="仿宋" w:hAnsi="仿宋" w:eastAsia="仿宋"/>
                <w:bCs/>
                <w:sz w:val="21"/>
                <w:szCs w:val="21"/>
              </w:rPr>
              <w:t>63%</w:t>
            </w:r>
          </w:p>
        </w:tc>
        <w:tc>
          <w:tcPr>
            <w:tcW w:w="760" w:type="pct"/>
            <w:vAlign w:val="center"/>
          </w:tcPr>
          <w:p>
            <w:pPr>
              <w:jc w:val="center"/>
              <w:rPr>
                <w:rFonts w:ascii="仿宋" w:hAnsi="仿宋" w:eastAsia="仿宋"/>
                <w:bCs/>
                <w:sz w:val="21"/>
                <w:szCs w:val="21"/>
                <w:lang w:eastAsia="zh-CN"/>
              </w:rPr>
            </w:pPr>
            <w:r>
              <w:rPr>
                <w:rFonts w:hint="eastAsia" w:ascii="仿宋" w:hAnsi="仿宋" w:eastAsia="仿宋"/>
                <w:bCs/>
                <w:sz w:val="21"/>
                <w:szCs w:val="21"/>
                <w:lang w:eastAsia="zh-CN"/>
              </w:rPr>
              <w:t>94.88%</w:t>
            </w:r>
          </w:p>
        </w:tc>
        <w:tc>
          <w:tcPr>
            <w:tcW w:w="144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bCs/>
                <w:sz w:val="21"/>
                <w:szCs w:val="21"/>
              </w:rPr>
            </w:pPr>
            <w:r>
              <w:rPr>
                <w:rFonts w:hint="eastAsia" w:ascii="仿宋" w:hAnsi="仿宋" w:eastAsia="仿宋"/>
                <w:bCs/>
                <w:sz w:val="21"/>
                <w:szCs w:val="21"/>
              </w:rPr>
              <w:t>0.22%-0.47%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1361" w:type="pct"/>
            <w:vAlign w:val="center"/>
          </w:tcPr>
          <w:p>
            <w:pPr>
              <w:jc w:val="center"/>
              <w:rPr>
                <w:rFonts w:ascii="仿宋" w:hAnsi="仿宋" w:eastAsia="仿宋"/>
                <w:bCs/>
                <w:sz w:val="21"/>
                <w:szCs w:val="21"/>
              </w:rPr>
            </w:pPr>
            <w:r>
              <w:rPr>
                <w:rFonts w:hint="eastAsia" w:ascii="仿宋" w:hAnsi="仿宋" w:eastAsia="仿宋"/>
                <w:bCs/>
                <w:sz w:val="21"/>
                <w:szCs w:val="21"/>
              </w:rPr>
              <w:t>专业技能合格率</w:t>
            </w:r>
          </w:p>
        </w:tc>
        <w:tc>
          <w:tcPr>
            <w:tcW w:w="715" w:type="pct"/>
            <w:vAlign w:val="center"/>
          </w:tcPr>
          <w:p>
            <w:pPr>
              <w:jc w:val="center"/>
              <w:rPr>
                <w:rFonts w:ascii="仿宋" w:hAnsi="仿宋" w:eastAsia="仿宋"/>
                <w:bCs/>
                <w:sz w:val="21"/>
                <w:szCs w:val="21"/>
              </w:rPr>
            </w:pPr>
            <w:r>
              <w:rPr>
                <w:rFonts w:hint="eastAsia" w:ascii="仿宋" w:hAnsi="仿宋" w:eastAsia="仿宋"/>
                <w:bCs/>
                <w:sz w:val="21"/>
                <w:szCs w:val="21"/>
              </w:rPr>
              <w:t>89</w:t>
            </w:r>
            <w:r>
              <w:rPr>
                <w:rFonts w:hint="eastAsia" w:ascii="仿宋" w:hAnsi="仿宋" w:eastAsia="仿宋"/>
                <w:bCs/>
                <w:sz w:val="21"/>
                <w:szCs w:val="21"/>
                <w:lang w:eastAsia="zh-CN"/>
              </w:rPr>
              <w:t>.</w:t>
            </w:r>
            <w:r>
              <w:rPr>
                <w:rFonts w:hint="eastAsia" w:ascii="仿宋" w:hAnsi="仿宋" w:eastAsia="仿宋"/>
                <w:bCs/>
                <w:sz w:val="21"/>
                <w:szCs w:val="21"/>
              </w:rPr>
              <w:t>70%</w:t>
            </w:r>
          </w:p>
        </w:tc>
        <w:tc>
          <w:tcPr>
            <w:tcW w:w="715" w:type="pct"/>
            <w:vAlign w:val="center"/>
          </w:tcPr>
          <w:p>
            <w:pPr>
              <w:jc w:val="center"/>
              <w:rPr>
                <w:rFonts w:ascii="仿宋" w:hAnsi="仿宋" w:eastAsia="仿宋"/>
                <w:bCs/>
                <w:sz w:val="21"/>
                <w:szCs w:val="21"/>
              </w:rPr>
            </w:pPr>
            <w:r>
              <w:rPr>
                <w:rFonts w:hint="eastAsia" w:ascii="仿宋" w:hAnsi="仿宋" w:eastAsia="仿宋"/>
                <w:bCs/>
                <w:sz w:val="21"/>
                <w:szCs w:val="21"/>
              </w:rPr>
              <w:t>95</w:t>
            </w:r>
            <w:r>
              <w:rPr>
                <w:rFonts w:hint="eastAsia" w:ascii="仿宋" w:hAnsi="仿宋" w:eastAsia="仿宋"/>
                <w:bCs/>
                <w:sz w:val="21"/>
                <w:szCs w:val="21"/>
                <w:lang w:eastAsia="zh-CN"/>
              </w:rPr>
              <w:t>.</w:t>
            </w:r>
            <w:r>
              <w:rPr>
                <w:rFonts w:hint="eastAsia" w:ascii="仿宋" w:hAnsi="仿宋" w:eastAsia="仿宋"/>
                <w:bCs/>
                <w:sz w:val="21"/>
                <w:szCs w:val="21"/>
              </w:rPr>
              <w:t>77%</w:t>
            </w:r>
          </w:p>
        </w:tc>
        <w:tc>
          <w:tcPr>
            <w:tcW w:w="760" w:type="pct"/>
            <w:vAlign w:val="center"/>
          </w:tcPr>
          <w:p>
            <w:pPr>
              <w:jc w:val="center"/>
              <w:rPr>
                <w:rFonts w:ascii="仿宋" w:hAnsi="仿宋" w:eastAsia="仿宋"/>
                <w:bCs/>
                <w:sz w:val="21"/>
                <w:szCs w:val="21"/>
                <w:lang w:eastAsia="zh-CN"/>
              </w:rPr>
            </w:pPr>
            <w:r>
              <w:rPr>
                <w:rFonts w:hint="eastAsia" w:ascii="仿宋" w:hAnsi="仿宋" w:eastAsia="仿宋"/>
                <w:bCs/>
                <w:sz w:val="21"/>
                <w:szCs w:val="21"/>
                <w:lang w:eastAsia="zh-CN"/>
              </w:rPr>
              <w:t>96%</w:t>
            </w:r>
          </w:p>
        </w:tc>
        <w:tc>
          <w:tcPr>
            <w:tcW w:w="1448" w:type="pct"/>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bCs/>
                <w:sz w:val="21"/>
                <w:szCs w:val="21"/>
              </w:rPr>
            </w:pPr>
            <w:r>
              <w:rPr>
                <w:rFonts w:hint="eastAsia" w:ascii="仿宋" w:hAnsi="仿宋" w:eastAsia="仿宋"/>
                <w:bCs/>
                <w:sz w:val="21"/>
                <w:szCs w:val="21"/>
              </w:rPr>
              <w:t>0.23%-6.3%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1361" w:type="pct"/>
            <w:vAlign w:val="center"/>
          </w:tcPr>
          <w:p>
            <w:pPr>
              <w:jc w:val="center"/>
              <w:rPr>
                <w:rFonts w:ascii="仿宋" w:hAnsi="仿宋" w:eastAsia="仿宋"/>
                <w:bCs/>
                <w:sz w:val="21"/>
                <w:szCs w:val="21"/>
              </w:rPr>
            </w:pPr>
            <w:r>
              <w:rPr>
                <w:rFonts w:hint="eastAsia" w:ascii="仿宋" w:hAnsi="仿宋" w:eastAsia="仿宋"/>
                <w:bCs/>
                <w:sz w:val="21"/>
                <w:szCs w:val="21"/>
              </w:rPr>
              <w:t>体质测评合格率</w:t>
            </w:r>
          </w:p>
        </w:tc>
        <w:tc>
          <w:tcPr>
            <w:tcW w:w="715" w:type="pct"/>
            <w:vAlign w:val="center"/>
          </w:tcPr>
          <w:p>
            <w:pPr>
              <w:jc w:val="center"/>
              <w:rPr>
                <w:rFonts w:ascii="仿宋" w:hAnsi="仿宋" w:eastAsia="仿宋"/>
                <w:bCs/>
                <w:sz w:val="21"/>
                <w:szCs w:val="21"/>
              </w:rPr>
            </w:pPr>
            <w:r>
              <w:rPr>
                <w:rFonts w:hint="eastAsia" w:ascii="仿宋" w:hAnsi="仿宋" w:eastAsia="仿宋"/>
                <w:bCs/>
                <w:sz w:val="21"/>
                <w:szCs w:val="21"/>
              </w:rPr>
              <w:t>91</w:t>
            </w:r>
            <w:r>
              <w:rPr>
                <w:rFonts w:hint="eastAsia" w:ascii="仿宋" w:hAnsi="仿宋" w:eastAsia="仿宋"/>
                <w:bCs/>
                <w:sz w:val="21"/>
                <w:szCs w:val="21"/>
                <w:lang w:eastAsia="zh-CN"/>
              </w:rPr>
              <w:t>.</w:t>
            </w:r>
            <w:r>
              <w:rPr>
                <w:rFonts w:hint="eastAsia" w:ascii="仿宋" w:hAnsi="仿宋" w:eastAsia="仿宋"/>
                <w:bCs/>
                <w:sz w:val="21"/>
                <w:szCs w:val="21"/>
              </w:rPr>
              <w:t>30%</w:t>
            </w:r>
          </w:p>
        </w:tc>
        <w:tc>
          <w:tcPr>
            <w:tcW w:w="715" w:type="pct"/>
            <w:vAlign w:val="center"/>
          </w:tcPr>
          <w:p>
            <w:pPr>
              <w:jc w:val="center"/>
              <w:rPr>
                <w:rFonts w:ascii="仿宋" w:hAnsi="仿宋" w:eastAsia="仿宋"/>
                <w:bCs/>
                <w:sz w:val="21"/>
                <w:szCs w:val="21"/>
              </w:rPr>
            </w:pPr>
            <w:r>
              <w:rPr>
                <w:rFonts w:hint="eastAsia" w:ascii="仿宋" w:hAnsi="仿宋" w:eastAsia="仿宋"/>
                <w:bCs/>
                <w:sz w:val="21"/>
                <w:szCs w:val="21"/>
              </w:rPr>
              <w:t>95</w:t>
            </w:r>
            <w:r>
              <w:rPr>
                <w:rFonts w:hint="eastAsia" w:ascii="仿宋" w:hAnsi="仿宋" w:eastAsia="仿宋"/>
                <w:bCs/>
                <w:sz w:val="21"/>
                <w:szCs w:val="21"/>
                <w:lang w:eastAsia="zh-CN"/>
              </w:rPr>
              <w:t>.</w:t>
            </w:r>
            <w:r>
              <w:rPr>
                <w:rFonts w:hint="eastAsia" w:ascii="仿宋" w:hAnsi="仿宋" w:eastAsia="仿宋"/>
                <w:bCs/>
                <w:sz w:val="21"/>
                <w:szCs w:val="21"/>
              </w:rPr>
              <w:t>01%</w:t>
            </w:r>
          </w:p>
        </w:tc>
        <w:tc>
          <w:tcPr>
            <w:tcW w:w="760" w:type="pct"/>
            <w:vAlign w:val="center"/>
          </w:tcPr>
          <w:p>
            <w:pPr>
              <w:jc w:val="center"/>
              <w:rPr>
                <w:rFonts w:ascii="仿宋" w:hAnsi="仿宋" w:eastAsia="仿宋"/>
                <w:bCs/>
                <w:sz w:val="21"/>
                <w:szCs w:val="21"/>
                <w:lang w:eastAsia="zh-CN"/>
              </w:rPr>
            </w:pPr>
            <w:r>
              <w:rPr>
                <w:rFonts w:hint="eastAsia" w:ascii="仿宋" w:hAnsi="仿宋" w:eastAsia="仿宋"/>
                <w:bCs/>
                <w:sz w:val="21"/>
                <w:szCs w:val="21"/>
                <w:lang w:eastAsia="zh-CN"/>
              </w:rPr>
              <w:t>95.5%</w:t>
            </w:r>
          </w:p>
        </w:tc>
        <w:tc>
          <w:tcPr>
            <w:tcW w:w="1448" w:type="pct"/>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bCs/>
                <w:sz w:val="21"/>
                <w:szCs w:val="21"/>
              </w:rPr>
            </w:pPr>
            <w:r>
              <w:rPr>
                <w:rFonts w:hint="eastAsia" w:ascii="仿宋" w:hAnsi="仿宋" w:eastAsia="仿宋"/>
                <w:bCs/>
                <w:sz w:val="21"/>
                <w:szCs w:val="21"/>
              </w:rPr>
              <w:t>0.49%-4.2%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1361" w:type="pct"/>
            <w:vAlign w:val="center"/>
          </w:tcPr>
          <w:p>
            <w:pPr>
              <w:jc w:val="center"/>
              <w:rPr>
                <w:rFonts w:ascii="仿宋" w:hAnsi="仿宋" w:eastAsia="仿宋"/>
                <w:bCs/>
                <w:sz w:val="21"/>
                <w:szCs w:val="21"/>
              </w:rPr>
            </w:pPr>
            <w:r>
              <w:rPr>
                <w:rFonts w:hint="eastAsia" w:ascii="仿宋" w:hAnsi="仿宋" w:eastAsia="仿宋"/>
                <w:bCs/>
                <w:sz w:val="21"/>
                <w:szCs w:val="21"/>
              </w:rPr>
              <w:t>毕业率</w:t>
            </w:r>
          </w:p>
        </w:tc>
        <w:tc>
          <w:tcPr>
            <w:tcW w:w="715" w:type="pct"/>
            <w:vAlign w:val="center"/>
          </w:tcPr>
          <w:p>
            <w:pPr>
              <w:jc w:val="center"/>
              <w:rPr>
                <w:rFonts w:ascii="仿宋" w:hAnsi="仿宋" w:eastAsia="仿宋"/>
                <w:bCs/>
                <w:sz w:val="21"/>
                <w:szCs w:val="21"/>
              </w:rPr>
            </w:pPr>
            <w:r>
              <w:rPr>
                <w:rFonts w:hint="eastAsia" w:ascii="仿宋" w:hAnsi="仿宋" w:eastAsia="仿宋"/>
                <w:bCs/>
                <w:sz w:val="21"/>
                <w:szCs w:val="21"/>
              </w:rPr>
              <w:t>97</w:t>
            </w:r>
            <w:r>
              <w:rPr>
                <w:rFonts w:hint="eastAsia" w:ascii="仿宋" w:hAnsi="仿宋" w:eastAsia="仿宋"/>
                <w:bCs/>
                <w:sz w:val="21"/>
                <w:szCs w:val="21"/>
                <w:lang w:eastAsia="zh-CN"/>
              </w:rPr>
              <w:t>.</w:t>
            </w:r>
            <w:r>
              <w:rPr>
                <w:rFonts w:hint="eastAsia" w:ascii="仿宋" w:hAnsi="仿宋" w:eastAsia="仿宋"/>
                <w:bCs/>
                <w:sz w:val="21"/>
                <w:szCs w:val="21"/>
              </w:rPr>
              <w:t>70%</w:t>
            </w:r>
          </w:p>
        </w:tc>
        <w:tc>
          <w:tcPr>
            <w:tcW w:w="715" w:type="pct"/>
            <w:vAlign w:val="center"/>
          </w:tcPr>
          <w:p>
            <w:pPr>
              <w:jc w:val="center"/>
              <w:rPr>
                <w:rFonts w:ascii="仿宋" w:hAnsi="仿宋" w:eastAsia="仿宋"/>
                <w:bCs/>
                <w:sz w:val="21"/>
                <w:szCs w:val="21"/>
              </w:rPr>
            </w:pPr>
            <w:r>
              <w:rPr>
                <w:rFonts w:hint="eastAsia" w:ascii="仿宋" w:hAnsi="仿宋" w:eastAsia="仿宋"/>
                <w:bCs/>
                <w:sz w:val="21"/>
                <w:szCs w:val="21"/>
              </w:rPr>
              <w:t>90</w:t>
            </w:r>
            <w:r>
              <w:rPr>
                <w:rFonts w:hint="eastAsia" w:ascii="仿宋" w:hAnsi="仿宋" w:eastAsia="仿宋"/>
                <w:bCs/>
                <w:sz w:val="21"/>
                <w:szCs w:val="21"/>
                <w:lang w:eastAsia="zh-CN"/>
              </w:rPr>
              <w:t>.</w:t>
            </w:r>
            <w:r>
              <w:rPr>
                <w:rFonts w:hint="eastAsia" w:ascii="仿宋" w:hAnsi="仿宋" w:eastAsia="仿宋"/>
                <w:bCs/>
                <w:sz w:val="21"/>
                <w:szCs w:val="21"/>
              </w:rPr>
              <w:t>25%</w:t>
            </w:r>
          </w:p>
        </w:tc>
        <w:tc>
          <w:tcPr>
            <w:tcW w:w="760" w:type="pct"/>
            <w:vAlign w:val="center"/>
          </w:tcPr>
          <w:p>
            <w:pPr>
              <w:jc w:val="center"/>
              <w:rPr>
                <w:rFonts w:ascii="仿宋" w:hAnsi="仿宋" w:eastAsia="仿宋"/>
                <w:bCs/>
                <w:sz w:val="21"/>
                <w:szCs w:val="21"/>
                <w:lang w:eastAsia="zh-CN"/>
              </w:rPr>
            </w:pPr>
            <w:r>
              <w:rPr>
                <w:rFonts w:hint="eastAsia" w:ascii="仿宋" w:hAnsi="仿宋" w:eastAsia="仿宋"/>
                <w:bCs/>
                <w:sz w:val="21"/>
                <w:szCs w:val="21"/>
                <w:lang w:eastAsia="zh-CN"/>
              </w:rPr>
              <w:t>95%</w:t>
            </w:r>
          </w:p>
        </w:tc>
        <w:tc>
          <w:tcPr>
            <w:tcW w:w="1448" w:type="pct"/>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bCs/>
                <w:sz w:val="21"/>
                <w:szCs w:val="21"/>
              </w:rPr>
            </w:pPr>
            <w:r>
              <w:rPr>
                <w:rFonts w:hint="eastAsia" w:ascii="仿宋" w:hAnsi="仿宋" w:eastAsia="仿宋"/>
                <w:bCs/>
                <w:sz w:val="21"/>
                <w:szCs w:val="21"/>
              </w:rPr>
              <w:t>2.7%-7.45%</w:t>
            </w:r>
          </w:p>
        </w:tc>
      </w:tr>
    </w:tbl>
    <w:p>
      <w:pPr>
        <w:pStyle w:val="2"/>
        <w:spacing w:line="360" w:lineRule="auto"/>
        <w:ind w:left="480" w:firstLine="480"/>
        <w:rPr>
          <w:rFonts w:ascii="仿宋" w:hAnsi="仿宋" w:eastAsia="仿宋"/>
          <w:lang w:val="uk-UA"/>
        </w:rPr>
      </w:pPr>
    </w:p>
    <w:p>
      <w:pPr>
        <w:pStyle w:val="2"/>
        <w:spacing w:line="360" w:lineRule="auto"/>
        <w:ind w:left="0" w:leftChars="0" w:firstLine="0" w:firstLineChars="0"/>
        <w:jc w:val="center"/>
        <w:rPr>
          <w:rFonts w:ascii="仿宋" w:hAnsi="仿宋" w:eastAsia="仿宋"/>
          <w:lang w:val="uk-UA"/>
        </w:rPr>
      </w:pPr>
      <w:r>
        <w:drawing>
          <wp:inline distT="0" distB="0" distL="0" distR="0">
            <wp:extent cx="4572000" cy="2743200"/>
            <wp:effectExtent l="0" t="0" r="0" b="0"/>
            <wp:docPr id="54" name="图表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4"/>
        <w:spacing w:before="0" w:after="0" w:line="360" w:lineRule="auto"/>
        <w:ind w:firstLine="560"/>
        <w:jc w:val="both"/>
        <w:rPr>
          <w:rFonts w:ascii="仿宋" w:hAnsi="仿宋" w:eastAsia="仿宋" w:cs="楷体"/>
          <w:bCs w:val="0"/>
          <w:sz w:val="28"/>
          <w:szCs w:val="28"/>
        </w:rPr>
      </w:pPr>
      <w:bookmarkStart w:id="8" w:name="_Toc66798293"/>
      <w:r>
        <w:rPr>
          <w:rFonts w:hint="eastAsia" w:ascii="仿宋" w:hAnsi="仿宋" w:eastAsia="仿宋" w:cs="楷体"/>
          <w:bCs w:val="0"/>
          <w:sz w:val="28"/>
          <w:szCs w:val="28"/>
        </w:rPr>
        <w:t>2</w:t>
      </w:r>
      <w:r>
        <w:rPr>
          <w:rFonts w:hint="eastAsia" w:ascii="仿宋" w:hAnsi="仿宋" w:eastAsia="仿宋" w:cs="楷体"/>
          <w:bCs w:val="0"/>
          <w:sz w:val="28"/>
          <w:szCs w:val="28"/>
          <w:lang w:eastAsia="zh-CN"/>
        </w:rPr>
        <w:t>.</w:t>
      </w:r>
      <w:r>
        <w:rPr>
          <w:rFonts w:hint="eastAsia" w:ascii="仿宋" w:hAnsi="仿宋" w:eastAsia="仿宋" w:cs="楷体"/>
          <w:bCs w:val="0"/>
          <w:sz w:val="28"/>
          <w:szCs w:val="28"/>
        </w:rPr>
        <w:t>2就业质量</w:t>
      </w:r>
      <w:bookmarkEnd w:id="8"/>
    </w:p>
    <w:p>
      <w:pPr>
        <w:spacing w:line="360" w:lineRule="auto"/>
        <w:ind w:firstLine="560"/>
        <w:jc w:val="both"/>
        <w:rPr>
          <w:rFonts w:ascii="仿宋" w:hAnsi="仿宋" w:eastAsia="仿宋" w:cs="仿宋_GB2312"/>
          <w:sz w:val="28"/>
          <w:szCs w:val="28"/>
          <w:lang w:val="uk-UA"/>
        </w:rPr>
      </w:pPr>
      <w:r>
        <w:rPr>
          <w:rFonts w:hint="eastAsia" w:ascii="仿宋" w:hAnsi="仿宋" w:eastAsia="仿宋" w:cs="仿宋_GB2312"/>
          <w:sz w:val="28"/>
          <w:szCs w:val="28"/>
        </w:rPr>
        <w:t>大同市中等职业教育毕业就业状况稳定上升，初次就业率保持在95%左右，</w:t>
      </w:r>
      <w:r>
        <w:rPr>
          <w:rFonts w:hint="eastAsia" w:ascii="仿宋" w:hAnsi="仿宋" w:eastAsia="仿宋" w:cs="仿宋_GB2312"/>
          <w:sz w:val="28"/>
          <w:szCs w:val="28"/>
          <w:lang w:eastAsia="zh-CN"/>
        </w:rPr>
        <w:t>2020</w:t>
      </w:r>
      <w:r>
        <w:rPr>
          <w:rFonts w:hint="eastAsia" w:ascii="仿宋" w:hAnsi="仿宋" w:eastAsia="仿宋" w:cs="仿宋_GB2312"/>
          <w:sz w:val="28"/>
          <w:szCs w:val="28"/>
        </w:rPr>
        <w:t>年毕业生初次就业率为</w:t>
      </w:r>
      <w:r>
        <w:rPr>
          <w:rFonts w:hint="eastAsia" w:ascii="仿宋" w:hAnsi="仿宋" w:eastAsia="仿宋" w:cs="仿宋_GB2312"/>
          <w:sz w:val="28"/>
          <w:szCs w:val="28"/>
          <w:lang w:eastAsia="zh-CN"/>
        </w:rPr>
        <w:t>95.14</w:t>
      </w:r>
      <w:r>
        <w:rPr>
          <w:rFonts w:hint="eastAsia" w:ascii="仿宋" w:hAnsi="仿宋" w:eastAsia="仿宋" w:cs="仿宋_GB2312"/>
          <w:sz w:val="28"/>
          <w:szCs w:val="28"/>
        </w:rPr>
        <w:t>%，专业对口率达到</w:t>
      </w:r>
      <w:r>
        <w:rPr>
          <w:rFonts w:hint="eastAsia" w:ascii="仿宋" w:hAnsi="仿宋" w:eastAsia="仿宋" w:cs="仿宋_GB2312"/>
          <w:sz w:val="28"/>
          <w:szCs w:val="28"/>
          <w:lang w:eastAsia="zh-CN"/>
        </w:rPr>
        <w:t>77.83</w:t>
      </w:r>
      <w:r>
        <w:rPr>
          <w:rFonts w:hint="eastAsia" w:ascii="仿宋" w:hAnsi="仿宋" w:eastAsia="仿宋" w:cs="仿宋_GB2312"/>
          <w:sz w:val="28"/>
          <w:szCs w:val="28"/>
        </w:rPr>
        <w:t>%，初次就业月收入达到23</w:t>
      </w:r>
      <w:r>
        <w:rPr>
          <w:rFonts w:hint="eastAsia" w:ascii="仿宋" w:hAnsi="仿宋" w:eastAsia="仿宋" w:cs="仿宋_GB2312"/>
          <w:sz w:val="28"/>
          <w:szCs w:val="28"/>
          <w:lang w:eastAsia="zh-CN"/>
        </w:rPr>
        <w:t>5</w:t>
      </w:r>
      <w:r>
        <w:rPr>
          <w:rFonts w:hint="eastAsia" w:ascii="仿宋" w:hAnsi="仿宋" w:eastAsia="仿宋" w:cs="仿宋_GB2312"/>
          <w:sz w:val="28"/>
          <w:szCs w:val="28"/>
        </w:rPr>
        <w:t>0元。中等职业学校学生创业能力相对较弱，创业起点也相对较低，大多集中在加工制造、交通运输、信息技术、医药卫生、财经商贸、旅游服务、文化艺术、教育类和体育健身类专业等领域，创业率约仅为4</w:t>
      </w:r>
      <w:r>
        <w:rPr>
          <w:rFonts w:hint="eastAsia" w:ascii="仿宋" w:hAnsi="仿宋" w:eastAsia="仿宋" w:cs="仿宋_GB2312"/>
          <w:sz w:val="28"/>
          <w:szCs w:val="28"/>
          <w:lang w:eastAsia="zh-CN"/>
        </w:rPr>
        <w:t>.2</w:t>
      </w:r>
      <w:r>
        <w:rPr>
          <w:rFonts w:hint="eastAsia" w:ascii="仿宋" w:hAnsi="仿宋" w:eastAsia="仿宋" w:cs="仿宋_GB2312"/>
          <w:sz w:val="28"/>
          <w:szCs w:val="28"/>
        </w:rPr>
        <w:t>%。</w:t>
      </w:r>
    </w:p>
    <w:p>
      <w:pPr>
        <w:rPr>
          <w:rFonts w:ascii="仿宋" w:hAnsi="仿宋" w:eastAsia="仿宋" w:cs="仿宋_GB2312"/>
          <w:b/>
          <w:sz w:val="28"/>
          <w:szCs w:val="28"/>
        </w:rPr>
      </w:pPr>
      <w:r>
        <w:rPr>
          <w:rFonts w:ascii="仿宋" w:hAnsi="仿宋" w:eastAsia="仿宋" w:cs="仿宋_GB2312"/>
          <w:b/>
          <w:sz w:val="28"/>
          <w:szCs w:val="28"/>
        </w:rPr>
        <w:br w:type="page"/>
      </w:r>
    </w:p>
    <w:p>
      <w:pPr>
        <w:spacing w:line="360" w:lineRule="auto"/>
        <w:jc w:val="center"/>
        <w:rPr>
          <w:rFonts w:ascii="仿宋" w:hAnsi="仿宋" w:eastAsia="仿宋" w:cs="仿宋_GB2312"/>
          <w:b/>
        </w:rPr>
      </w:pPr>
      <w:r>
        <w:rPr>
          <w:rFonts w:hint="eastAsia" w:ascii="仿宋" w:hAnsi="仿宋" w:eastAsia="仿宋" w:cs="仿宋_GB2312"/>
          <w:b/>
        </w:rPr>
        <w:t>表</w:t>
      </w:r>
      <w:r>
        <w:rPr>
          <w:rFonts w:hint="eastAsia" w:ascii="仿宋" w:hAnsi="仿宋" w:eastAsia="仿宋" w:cs="仿宋_GB2312"/>
          <w:b/>
          <w:lang w:eastAsia="zh-CN"/>
        </w:rPr>
        <w:t>五</w:t>
      </w:r>
      <w:r>
        <w:rPr>
          <w:rFonts w:hint="eastAsia" w:ascii="仿宋" w:hAnsi="仿宋" w:eastAsia="仿宋" w:cs="仿宋_GB2312"/>
          <w:b/>
        </w:rPr>
        <w:t>：201</w:t>
      </w:r>
      <w:r>
        <w:rPr>
          <w:rFonts w:ascii="仿宋" w:hAnsi="仿宋" w:eastAsia="仿宋" w:cs="仿宋_GB2312"/>
          <w:b/>
        </w:rPr>
        <w:t>8</w:t>
      </w:r>
      <w:r>
        <w:rPr>
          <w:rFonts w:hint="eastAsia" w:ascii="仿宋" w:hAnsi="仿宋" w:eastAsia="仿宋" w:cs="仿宋_GB2312"/>
          <w:b/>
        </w:rPr>
        <w:t>年</w:t>
      </w:r>
      <w:r>
        <w:rPr>
          <w:rFonts w:hint="eastAsia" w:ascii="仿宋" w:hAnsi="仿宋" w:eastAsia="仿宋" w:cs="仿宋_GB2312"/>
          <w:b/>
          <w:lang w:eastAsia="zh-CN"/>
        </w:rPr>
        <w:t>至2020</w:t>
      </w:r>
      <w:r>
        <w:rPr>
          <w:rFonts w:hint="eastAsia" w:ascii="仿宋" w:hAnsi="仿宋" w:eastAsia="仿宋" w:cs="仿宋_GB2312"/>
          <w:b/>
        </w:rPr>
        <w:t>年学生就业情况统计表</w:t>
      </w:r>
    </w:p>
    <w:tbl>
      <w:tblPr>
        <w:tblStyle w:val="14"/>
        <w:tblW w:w="50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4"/>
        <w:gridCol w:w="2217"/>
        <w:gridCol w:w="2066"/>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363" w:type="pct"/>
            <w:vAlign w:val="center"/>
          </w:tcPr>
          <w:p>
            <w:pPr>
              <w:jc w:val="center"/>
              <w:rPr>
                <w:rFonts w:ascii="仿宋" w:hAnsi="仿宋" w:eastAsia="仿宋"/>
                <w:b/>
                <w:sz w:val="21"/>
                <w:szCs w:val="21"/>
                <w:lang w:eastAsia="zh-CN"/>
              </w:rPr>
            </w:pPr>
            <w:r>
              <w:rPr>
                <w:rFonts w:hint="eastAsia" w:ascii="仿宋" w:hAnsi="仿宋" w:eastAsia="仿宋"/>
                <w:b/>
                <w:sz w:val="21"/>
                <w:szCs w:val="21"/>
                <w:lang w:eastAsia="zh-CN"/>
              </w:rPr>
              <w:t>内容</w:t>
            </w:r>
          </w:p>
        </w:tc>
        <w:tc>
          <w:tcPr>
            <w:tcW w:w="1283" w:type="pct"/>
            <w:shd w:val="clear" w:color="auto" w:fill="auto"/>
            <w:vAlign w:val="center"/>
          </w:tcPr>
          <w:p>
            <w:pPr>
              <w:jc w:val="center"/>
              <w:rPr>
                <w:rFonts w:ascii="仿宋" w:hAnsi="仿宋" w:eastAsia="仿宋"/>
                <w:b/>
                <w:sz w:val="21"/>
                <w:szCs w:val="21"/>
                <w:lang w:eastAsia="zh-CN"/>
              </w:rPr>
            </w:pPr>
            <w:r>
              <w:rPr>
                <w:rFonts w:hint="eastAsia" w:ascii="仿宋" w:hAnsi="仿宋" w:eastAsia="仿宋"/>
                <w:b/>
                <w:sz w:val="21"/>
                <w:szCs w:val="21"/>
                <w:lang w:eastAsia="zh-CN"/>
              </w:rPr>
              <w:t>2018年</w:t>
            </w:r>
          </w:p>
        </w:tc>
        <w:tc>
          <w:tcPr>
            <w:tcW w:w="1196" w:type="pct"/>
            <w:vAlign w:val="center"/>
          </w:tcPr>
          <w:p>
            <w:pPr>
              <w:jc w:val="center"/>
              <w:rPr>
                <w:rFonts w:ascii="仿宋" w:hAnsi="仿宋" w:eastAsia="仿宋"/>
                <w:b/>
                <w:sz w:val="21"/>
                <w:szCs w:val="21"/>
                <w:lang w:eastAsia="zh-CN"/>
              </w:rPr>
            </w:pPr>
            <w:r>
              <w:rPr>
                <w:rFonts w:hint="eastAsia" w:ascii="仿宋" w:hAnsi="仿宋" w:eastAsia="仿宋"/>
                <w:b/>
                <w:sz w:val="21"/>
                <w:szCs w:val="21"/>
                <w:lang w:eastAsia="zh-CN"/>
              </w:rPr>
              <w:t>2019年</w:t>
            </w:r>
          </w:p>
        </w:tc>
        <w:tc>
          <w:tcPr>
            <w:tcW w:w="1158" w:type="pct"/>
            <w:vAlign w:val="center"/>
          </w:tcPr>
          <w:p>
            <w:pPr>
              <w:jc w:val="center"/>
              <w:rPr>
                <w:rFonts w:ascii="仿宋" w:hAnsi="仿宋" w:eastAsia="仿宋"/>
                <w:b/>
                <w:sz w:val="21"/>
                <w:szCs w:val="21"/>
                <w:lang w:eastAsia="zh-CN"/>
              </w:rPr>
            </w:pPr>
            <w:r>
              <w:rPr>
                <w:rFonts w:hint="eastAsia" w:ascii="仿宋" w:hAnsi="仿宋" w:eastAsia="仿宋"/>
                <w:b/>
                <w:sz w:val="21"/>
                <w:szCs w:val="21"/>
                <w:lang w:eastAsia="zh-CN"/>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363" w:type="pct"/>
            <w:vAlign w:val="center"/>
          </w:tcPr>
          <w:p>
            <w:pPr>
              <w:jc w:val="center"/>
              <w:rPr>
                <w:rFonts w:ascii="仿宋" w:hAnsi="仿宋" w:eastAsia="仿宋"/>
                <w:sz w:val="21"/>
                <w:szCs w:val="21"/>
              </w:rPr>
            </w:pPr>
            <w:r>
              <w:rPr>
                <w:rFonts w:hint="eastAsia" w:ascii="仿宋" w:hAnsi="仿宋" w:eastAsia="仿宋"/>
                <w:sz w:val="21"/>
                <w:szCs w:val="21"/>
              </w:rPr>
              <w:t>就业率</w:t>
            </w:r>
          </w:p>
        </w:tc>
        <w:tc>
          <w:tcPr>
            <w:tcW w:w="1283" w:type="pct"/>
            <w:shd w:val="clear" w:color="auto" w:fill="auto"/>
            <w:vAlign w:val="center"/>
          </w:tcPr>
          <w:p>
            <w:pPr>
              <w:jc w:val="center"/>
              <w:rPr>
                <w:rFonts w:ascii="仿宋" w:hAnsi="仿宋" w:eastAsia="仿宋"/>
                <w:sz w:val="21"/>
                <w:szCs w:val="21"/>
              </w:rPr>
            </w:pPr>
            <w:r>
              <w:rPr>
                <w:rFonts w:hint="eastAsia" w:ascii="仿宋" w:hAnsi="仿宋" w:eastAsia="仿宋"/>
                <w:sz w:val="21"/>
                <w:szCs w:val="21"/>
              </w:rPr>
              <w:t>91.14%</w:t>
            </w:r>
          </w:p>
        </w:tc>
        <w:tc>
          <w:tcPr>
            <w:tcW w:w="1196" w:type="pct"/>
            <w:noWrap/>
            <w:vAlign w:val="center"/>
          </w:tcPr>
          <w:p>
            <w:pPr>
              <w:jc w:val="center"/>
              <w:rPr>
                <w:rFonts w:ascii="仿宋" w:hAnsi="仿宋" w:eastAsia="仿宋"/>
                <w:sz w:val="21"/>
                <w:szCs w:val="21"/>
              </w:rPr>
            </w:pPr>
            <w:r>
              <w:rPr>
                <w:rFonts w:hint="eastAsia" w:ascii="仿宋" w:hAnsi="仿宋" w:eastAsia="仿宋"/>
                <w:sz w:val="21"/>
                <w:szCs w:val="21"/>
              </w:rPr>
              <w:t>95.58%</w:t>
            </w:r>
          </w:p>
        </w:tc>
        <w:tc>
          <w:tcPr>
            <w:tcW w:w="1158" w:type="pct"/>
            <w:noWrap/>
            <w:vAlign w:val="center"/>
          </w:tcPr>
          <w:p>
            <w:pPr>
              <w:jc w:val="center"/>
              <w:rPr>
                <w:rFonts w:ascii="仿宋" w:hAnsi="仿宋" w:eastAsia="仿宋"/>
                <w:sz w:val="21"/>
                <w:szCs w:val="21"/>
                <w:lang w:eastAsia="zh-CN"/>
              </w:rPr>
            </w:pPr>
            <w:r>
              <w:rPr>
                <w:rFonts w:hint="eastAsia" w:ascii="仿宋" w:hAnsi="仿宋" w:eastAsia="仿宋"/>
                <w:sz w:val="21"/>
                <w:szCs w:val="21"/>
                <w:lang w:eastAsia="zh-CN"/>
              </w:rPr>
              <w:t>95.14%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363" w:type="pct"/>
            <w:vAlign w:val="center"/>
          </w:tcPr>
          <w:p>
            <w:pPr>
              <w:jc w:val="center"/>
              <w:rPr>
                <w:rFonts w:ascii="仿宋" w:hAnsi="仿宋" w:eastAsia="仿宋"/>
                <w:sz w:val="21"/>
                <w:szCs w:val="21"/>
              </w:rPr>
            </w:pPr>
            <w:r>
              <w:rPr>
                <w:rFonts w:hint="eastAsia" w:ascii="仿宋" w:hAnsi="仿宋" w:eastAsia="仿宋"/>
                <w:sz w:val="21"/>
                <w:szCs w:val="21"/>
              </w:rPr>
              <w:t>对口就业率</w:t>
            </w:r>
          </w:p>
        </w:tc>
        <w:tc>
          <w:tcPr>
            <w:tcW w:w="1283" w:type="pct"/>
            <w:shd w:val="clear" w:color="auto" w:fill="auto"/>
            <w:vAlign w:val="center"/>
          </w:tcPr>
          <w:p>
            <w:pPr>
              <w:jc w:val="center"/>
              <w:rPr>
                <w:rFonts w:ascii="仿宋" w:hAnsi="仿宋" w:eastAsia="仿宋"/>
                <w:sz w:val="21"/>
                <w:szCs w:val="21"/>
              </w:rPr>
            </w:pPr>
            <w:r>
              <w:rPr>
                <w:rFonts w:hint="eastAsia" w:ascii="仿宋" w:hAnsi="仿宋" w:eastAsia="仿宋"/>
                <w:sz w:val="21"/>
                <w:szCs w:val="21"/>
              </w:rPr>
              <w:t>50.30%</w:t>
            </w:r>
          </w:p>
        </w:tc>
        <w:tc>
          <w:tcPr>
            <w:tcW w:w="1196" w:type="pct"/>
            <w:noWrap/>
            <w:vAlign w:val="center"/>
          </w:tcPr>
          <w:p>
            <w:pPr>
              <w:jc w:val="center"/>
              <w:rPr>
                <w:rFonts w:ascii="仿宋" w:hAnsi="仿宋" w:eastAsia="仿宋"/>
                <w:sz w:val="21"/>
                <w:szCs w:val="21"/>
              </w:rPr>
            </w:pPr>
            <w:r>
              <w:rPr>
                <w:rFonts w:hint="eastAsia" w:ascii="仿宋" w:hAnsi="仿宋" w:eastAsia="仿宋"/>
                <w:sz w:val="21"/>
                <w:szCs w:val="21"/>
              </w:rPr>
              <w:t>85.82%</w:t>
            </w:r>
          </w:p>
        </w:tc>
        <w:tc>
          <w:tcPr>
            <w:tcW w:w="1158" w:type="pct"/>
            <w:noWrap/>
            <w:vAlign w:val="center"/>
          </w:tcPr>
          <w:p>
            <w:pPr>
              <w:jc w:val="center"/>
              <w:rPr>
                <w:rFonts w:ascii="仿宋" w:hAnsi="仿宋" w:eastAsia="仿宋"/>
                <w:sz w:val="21"/>
                <w:szCs w:val="21"/>
                <w:lang w:eastAsia="zh-CN"/>
              </w:rPr>
            </w:pPr>
            <w:r>
              <w:rPr>
                <w:rFonts w:hint="eastAsia" w:ascii="仿宋" w:hAnsi="仿宋" w:eastAsia="仿宋"/>
                <w:sz w:val="21"/>
                <w:szCs w:val="21"/>
                <w:lang w:eastAsia="zh-CN"/>
              </w:rPr>
              <w:t>77.83%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363" w:type="pct"/>
            <w:vAlign w:val="center"/>
          </w:tcPr>
          <w:p>
            <w:pPr>
              <w:jc w:val="center"/>
              <w:rPr>
                <w:rFonts w:ascii="仿宋" w:hAnsi="仿宋" w:eastAsia="仿宋"/>
                <w:sz w:val="21"/>
                <w:szCs w:val="21"/>
              </w:rPr>
            </w:pPr>
            <w:r>
              <w:rPr>
                <w:rFonts w:hint="eastAsia" w:ascii="仿宋" w:hAnsi="仿宋" w:eastAsia="仿宋"/>
                <w:sz w:val="21"/>
                <w:szCs w:val="21"/>
              </w:rPr>
              <w:t>初次就业月收入</w:t>
            </w:r>
          </w:p>
        </w:tc>
        <w:tc>
          <w:tcPr>
            <w:tcW w:w="1283" w:type="pct"/>
            <w:shd w:val="clear" w:color="auto" w:fill="auto"/>
            <w:vAlign w:val="center"/>
          </w:tcPr>
          <w:p>
            <w:pPr>
              <w:jc w:val="center"/>
              <w:rPr>
                <w:rFonts w:ascii="仿宋" w:hAnsi="仿宋" w:eastAsia="仿宋"/>
                <w:sz w:val="21"/>
                <w:szCs w:val="21"/>
              </w:rPr>
            </w:pPr>
            <w:r>
              <w:rPr>
                <w:rFonts w:hint="eastAsia" w:ascii="仿宋" w:hAnsi="仿宋" w:eastAsia="仿宋"/>
                <w:sz w:val="21"/>
                <w:szCs w:val="21"/>
              </w:rPr>
              <w:t>2000元</w:t>
            </w:r>
          </w:p>
        </w:tc>
        <w:tc>
          <w:tcPr>
            <w:tcW w:w="1196" w:type="pct"/>
            <w:noWrap/>
            <w:vAlign w:val="center"/>
          </w:tcPr>
          <w:p>
            <w:pPr>
              <w:jc w:val="center"/>
              <w:rPr>
                <w:rFonts w:ascii="仿宋" w:hAnsi="仿宋" w:eastAsia="仿宋"/>
                <w:sz w:val="21"/>
                <w:szCs w:val="21"/>
              </w:rPr>
            </w:pPr>
            <w:r>
              <w:rPr>
                <w:rFonts w:hint="eastAsia" w:ascii="仿宋" w:hAnsi="仿宋" w:eastAsia="仿宋"/>
                <w:sz w:val="21"/>
                <w:szCs w:val="21"/>
              </w:rPr>
              <w:t>2300元</w:t>
            </w:r>
          </w:p>
        </w:tc>
        <w:tc>
          <w:tcPr>
            <w:tcW w:w="1158" w:type="pct"/>
            <w:noWrap/>
            <w:vAlign w:val="center"/>
          </w:tcPr>
          <w:p>
            <w:pPr>
              <w:jc w:val="center"/>
              <w:rPr>
                <w:rFonts w:ascii="仿宋" w:hAnsi="仿宋" w:eastAsia="仿宋"/>
                <w:sz w:val="21"/>
                <w:szCs w:val="21"/>
                <w:lang w:eastAsia="zh-CN"/>
              </w:rPr>
            </w:pPr>
            <w:r>
              <w:rPr>
                <w:rFonts w:hint="eastAsia" w:ascii="仿宋" w:hAnsi="仿宋" w:eastAsia="仿宋"/>
                <w:sz w:val="21"/>
                <w:szCs w:val="21"/>
                <w:lang w:eastAsia="zh-CN"/>
              </w:rPr>
              <w:t>2350元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363" w:type="pct"/>
            <w:vAlign w:val="center"/>
          </w:tcPr>
          <w:p>
            <w:pPr>
              <w:jc w:val="center"/>
              <w:rPr>
                <w:rFonts w:ascii="仿宋" w:hAnsi="仿宋" w:eastAsia="仿宋"/>
                <w:sz w:val="21"/>
                <w:szCs w:val="21"/>
              </w:rPr>
            </w:pPr>
            <w:r>
              <w:rPr>
                <w:rFonts w:hint="eastAsia" w:ascii="仿宋" w:hAnsi="仿宋" w:eastAsia="仿宋"/>
                <w:sz w:val="21"/>
                <w:szCs w:val="21"/>
              </w:rPr>
              <w:t>创业率</w:t>
            </w:r>
          </w:p>
        </w:tc>
        <w:tc>
          <w:tcPr>
            <w:tcW w:w="1283" w:type="pct"/>
            <w:shd w:val="clear" w:color="auto" w:fill="auto"/>
            <w:vAlign w:val="center"/>
          </w:tcPr>
          <w:p>
            <w:pPr>
              <w:jc w:val="center"/>
              <w:rPr>
                <w:rFonts w:ascii="仿宋" w:hAnsi="仿宋" w:eastAsia="仿宋"/>
                <w:sz w:val="21"/>
                <w:szCs w:val="21"/>
              </w:rPr>
            </w:pPr>
            <w:r>
              <w:rPr>
                <w:rFonts w:hint="eastAsia" w:ascii="仿宋" w:hAnsi="仿宋" w:eastAsia="仿宋"/>
                <w:sz w:val="21"/>
                <w:szCs w:val="21"/>
              </w:rPr>
              <w:t>4%</w:t>
            </w:r>
          </w:p>
        </w:tc>
        <w:tc>
          <w:tcPr>
            <w:tcW w:w="1196" w:type="pct"/>
            <w:noWrap/>
            <w:vAlign w:val="center"/>
          </w:tcPr>
          <w:p>
            <w:pPr>
              <w:jc w:val="center"/>
              <w:rPr>
                <w:rFonts w:ascii="仿宋" w:hAnsi="仿宋" w:eastAsia="仿宋"/>
                <w:sz w:val="21"/>
                <w:szCs w:val="21"/>
              </w:rPr>
            </w:pPr>
            <w:r>
              <w:rPr>
                <w:rFonts w:hint="eastAsia" w:ascii="仿宋" w:hAnsi="仿宋" w:eastAsia="仿宋"/>
                <w:sz w:val="21"/>
                <w:szCs w:val="21"/>
              </w:rPr>
              <w:t>4.50%</w:t>
            </w:r>
          </w:p>
        </w:tc>
        <w:tc>
          <w:tcPr>
            <w:tcW w:w="1158" w:type="pct"/>
            <w:noWrap/>
            <w:vAlign w:val="center"/>
          </w:tcPr>
          <w:p>
            <w:pPr>
              <w:jc w:val="center"/>
              <w:rPr>
                <w:rFonts w:ascii="仿宋" w:hAnsi="仿宋" w:eastAsia="仿宋"/>
                <w:sz w:val="21"/>
                <w:szCs w:val="21"/>
                <w:lang w:eastAsia="zh-CN"/>
              </w:rPr>
            </w:pPr>
            <w:r>
              <w:rPr>
                <w:rFonts w:hint="eastAsia" w:ascii="仿宋" w:hAnsi="仿宋" w:eastAsia="仿宋"/>
                <w:sz w:val="21"/>
                <w:szCs w:val="21"/>
                <w:lang w:eastAsia="zh-CN"/>
              </w:rPr>
              <w:t>4.2%</w:t>
            </w:r>
          </w:p>
        </w:tc>
      </w:tr>
    </w:tbl>
    <w:p>
      <w:pPr>
        <w:pStyle w:val="2"/>
        <w:spacing w:line="360" w:lineRule="auto"/>
        <w:ind w:left="480"/>
        <w:rPr>
          <w:rFonts w:ascii="仿宋" w:hAnsi="仿宋" w:eastAsia="仿宋"/>
          <w:sz w:val="21"/>
          <w:szCs w:val="21"/>
          <w:lang w:val="uk-UA"/>
        </w:rPr>
      </w:pPr>
    </w:p>
    <w:p>
      <w:pPr>
        <w:pStyle w:val="2"/>
        <w:spacing w:line="360" w:lineRule="auto"/>
        <w:ind w:left="0" w:leftChars="0" w:firstLine="0" w:firstLineChars="0"/>
        <w:jc w:val="center"/>
        <w:rPr>
          <w:rFonts w:ascii="仿宋" w:hAnsi="仿宋" w:eastAsia="仿宋"/>
          <w:sz w:val="21"/>
          <w:szCs w:val="21"/>
          <w:lang w:val="uk-UA"/>
        </w:rPr>
      </w:pPr>
      <w:r>
        <w:drawing>
          <wp:inline distT="0" distB="0" distL="0" distR="0">
            <wp:extent cx="5276850" cy="2813050"/>
            <wp:effectExtent l="0" t="0" r="0" b="6350"/>
            <wp:docPr id="60"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4"/>
        <w:spacing w:before="0" w:after="0" w:line="360" w:lineRule="auto"/>
        <w:ind w:firstLine="560"/>
        <w:jc w:val="both"/>
        <w:rPr>
          <w:rFonts w:ascii="仿宋" w:hAnsi="仿宋" w:eastAsia="仿宋" w:cs="楷体"/>
          <w:bCs w:val="0"/>
          <w:sz w:val="28"/>
          <w:szCs w:val="28"/>
          <w:lang w:eastAsia="zh-CN"/>
        </w:rPr>
      </w:pPr>
      <w:bookmarkStart w:id="9" w:name="_Toc66798294"/>
      <w:r>
        <w:rPr>
          <w:rFonts w:hint="eastAsia" w:ascii="仿宋" w:hAnsi="仿宋" w:eastAsia="仿宋" w:cs="楷体"/>
          <w:bCs w:val="0"/>
          <w:sz w:val="28"/>
          <w:szCs w:val="28"/>
        </w:rPr>
        <w:t>2</w:t>
      </w:r>
      <w:r>
        <w:rPr>
          <w:rFonts w:hint="eastAsia" w:ascii="仿宋" w:hAnsi="仿宋" w:eastAsia="仿宋" w:cs="楷体"/>
          <w:bCs w:val="0"/>
          <w:sz w:val="28"/>
          <w:szCs w:val="28"/>
          <w:lang w:eastAsia="zh-CN"/>
        </w:rPr>
        <w:t>.3升学情况</w:t>
      </w:r>
      <w:bookmarkEnd w:id="9"/>
    </w:p>
    <w:p>
      <w:pPr>
        <w:spacing w:line="360" w:lineRule="auto"/>
        <w:ind w:firstLine="560"/>
        <w:jc w:val="both"/>
        <w:rPr>
          <w:rFonts w:ascii="仿宋" w:hAnsi="仿宋" w:eastAsia="仿宋"/>
          <w:lang w:eastAsia="zh-CN"/>
        </w:rPr>
      </w:pPr>
      <w:r>
        <w:rPr>
          <w:rFonts w:hint="eastAsia" w:ascii="仿宋" w:hAnsi="仿宋" w:eastAsia="仿宋" w:cs="仿宋_GB2312"/>
          <w:sz w:val="28"/>
          <w:szCs w:val="28"/>
        </w:rPr>
        <w:t>随着社会对学生学历水平要求的提高，我市中等职业学校学生的升学需求明显增强，特别是医药卫生类、师范类、财会类、艺术类专业，75%以上的学生选择直接升学，煤炭类、工科类专业学生选择升学的比例也有所提高。据统计，</w:t>
      </w:r>
      <w:r>
        <w:rPr>
          <w:rFonts w:hint="eastAsia" w:ascii="仿宋" w:hAnsi="仿宋" w:eastAsia="仿宋" w:cs="仿宋_GB2312"/>
          <w:sz w:val="28"/>
          <w:szCs w:val="28"/>
          <w:lang w:eastAsia="zh-CN"/>
        </w:rPr>
        <w:t>2020</w:t>
      </w:r>
      <w:r>
        <w:rPr>
          <w:rFonts w:hint="eastAsia" w:ascii="仿宋" w:hAnsi="仿宋" w:eastAsia="仿宋" w:cs="仿宋_GB2312"/>
          <w:sz w:val="28"/>
          <w:szCs w:val="28"/>
        </w:rPr>
        <w:t>年我市中等职业学校毕业生升入高一级学校的学生人数达到</w:t>
      </w:r>
      <w:r>
        <w:rPr>
          <w:rFonts w:hint="eastAsia" w:ascii="仿宋" w:hAnsi="仿宋" w:eastAsia="仿宋" w:cs="仿宋_GB2312"/>
          <w:sz w:val="28"/>
          <w:szCs w:val="28"/>
          <w:lang w:eastAsia="zh-CN"/>
        </w:rPr>
        <w:t>4113</w:t>
      </w:r>
      <w:r>
        <w:rPr>
          <w:rFonts w:hint="eastAsia" w:ascii="仿宋" w:hAnsi="仿宋" w:eastAsia="仿宋" w:cs="仿宋_GB2312"/>
          <w:sz w:val="28"/>
          <w:szCs w:val="28"/>
        </w:rPr>
        <w:t>人，占当年毕业人数7</w:t>
      </w:r>
      <w:r>
        <w:rPr>
          <w:rFonts w:hint="eastAsia" w:ascii="仿宋" w:hAnsi="仿宋" w:eastAsia="仿宋" w:cs="仿宋_GB2312"/>
          <w:sz w:val="28"/>
          <w:szCs w:val="28"/>
          <w:lang w:eastAsia="zh-CN"/>
        </w:rPr>
        <w:t>1.</w:t>
      </w:r>
      <w:r>
        <w:rPr>
          <w:rFonts w:hint="eastAsia" w:ascii="仿宋" w:hAnsi="仿宋" w:eastAsia="仿宋" w:cs="仿宋_GB2312"/>
          <w:sz w:val="28"/>
          <w:szCs w:val="28"/>
        </w:rPr>
        <w:t>4</w:t>
      </w:r>
      <w:r>
        <w:rPr>
          <w:rFonts w:hint="eastAsia" w:ascii="仿宋" w:hAnsi="仿宋" w:eastAsia="仿宋" w:cs="仿宋_GB2312"/>
          <w:sz w:val="28"/>
          <w:szCs w:val="28"/>
          <w:lang w:eastAsia="zh-CN"/>
        </w:rPr>
        <w:t>3</w:t>
      </w:r>
      <w:r>
        <w:rPr>
          <w:rFonts w:hint="eastAsia" w:ascii="仿宋" w:hAnsi="仿宋" w:eastAsia="仿宋" w:cs="仿宋_GB2312"/>
          <w:sz w:val="28"/>
          <w:szCs w:val="28"/>
        </w:rPr>
        <w:t>%。</w:t>
      </w:r>
    </w:p>
    <w:p>
      <w:pPr>
        <w:pStyle w:val="4"/>
        <w:spacing w:before="0" w:after="0" w:line="360" w:lineRule="auto"/>
        <w:ind w:firstLine="560"/>
        <w:jc w:val="both"/>
        <w:rPr>
          <w:rFonts w:ascii="仿宋" w:hAnsi="仿宋" w:eastAsia="仿宋" w:cs="黑体"/>
          <w:bCs w:val="0"/>
          <w:sz w:val="28"/>
          <w:szCs w:val="28"/>
        </w:rPr>
      </w:pPr>
      <w:bookmarkStart w:id="10" w:name="_Toc66798295"/>
      <w:r>
        <w:rPr>
          <w:rFonts w:hint="eastAsia" w:ascii="仿宋" w:hAnsi="仿宋" w:eastAsia="仿宋" w:cs="黑体"/>
          <w:bCs w:val="0"/>
          <w:sz w:val="28"/>
          <w:szCs w:val="28"/>
        </w:rPr>
        <w:t>3</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质量保障措施</w:t>
      </w:r>
      <w:bookmarkEnd w:id="10"/>
    </w:p>
    <w:p>
      <w:pPr>
        <w:pStyle w:val="4"/>
        <w:spacing w:before="0" w:after="0" w:line="360" w:lineRule="auto"/>
        <w:ind w:firstLine="560"/>
        <w:jc w:val="both"/>
        <w:rPr>
          <w:rFonts w:ascii="仿宋" w:hAnsi="仿宋" w:eastAsia="仿宋" w:cs="楷体"/>
          <w:bCs w:val="0"/>
          <w:sz w:val="28"/>
          <w:szCs w:val="28"/>
        </w:rPr>
      </w:pPr>
      <w:bookmarkStart w:id="11" w:name="_Toc66798296"/>
      <w:r>
        <w:rPr>
          <w:rFonts w:hint="eastAsia" w:ascii="仿宋" w:hAnsi="仿宋" w:eastAsia="仿宋" w:cs="楷体"/>
          <w:bCs w:val="0"/>
          <w:sz w:val="28"/>
          <w:szCs w:val="28"/>
        </w:rPr>
        <w:t>3</w:t>
      </w:r>
      <w:r>
        <w:rPr>
          <w:rFonts w:hint="eastAsia" w:ascii="仿宋" w:hAnsi="仿宋" w:eastAsia="仿宋" w:cs="楷体"/>
          <w:bCs w:val="0"/>
          <w:sz w:val="28"/>
          <w:szCs w:val="28"/>
          <w:lang w:eastAsia="zh-CN"/>
        </w:rPr>
        <w:t>.</w:t>
      </w:r>
      <w:r>
        <w:rPr>
          <w:rFonts w:hint="eastAsia" w:ascii="仿宋" w:hAnsi="仿宋" w:eastAsia="仿宋" w:cs="楷体"/>
          <w:bCs w:val="0"/>
          <w:sz w:val="28"/>
          <w:szCs w:val="28"/>
        </w:rPr>
        <w:t>1专业布局</w:t>
      </w:r>
      <w:bookmarkEnd w:id="11"/>
    </w:p>
    <w:p>
      <w:pPr>
        <w:pStyle w:val="4"/>
        <w:spacing w:before="0" w:after="0" w:line="360" w:lineRule="auto"/>
        <w:ind w:firstLine="560"/>
        <w:jc w:val="both"/>
        <w:rPr>
          <w:rFonts w:ascii="仿宋" w:hAnsi="仿宋" w:eastAsia="仿宋" w:cs="仿宋_GB2312"/>
          <w:sz w:val="28"/>
          <w:szCs w:val="28"/>
        </w:rPr>
      </w:pPr>
      <w:bookmarkStart w:id="12" w:name="_Toc66798297"/>
      <w:r>
        <w:rPr>
          <w:rFonts w:hint="eastAsia" w:ascii="仿宋" w:hAnsi="仿宋" w:eastAsia="仿宋" w:cs="仿宋_GB2312"/>
          <w:sz w:val="28"/>
          <w:szCs w:val="28"/>
        </w:rPr>
        <w:t>3</w:t>
      </w:r>
      <w:r>
        <w:rPr>
          <w:rFonts w:hint="eastAsia" w:ascii="仿宋" w:hAnsi="仿宋" w:eastAsia="仿宋" w:cs="仿宋_GB2312"/>
          <w:sz w:val="28"/>
          <w:szCs w:val="28"/>
          <w:lang w:eastAsia="zh-CN"/>
        </w:rPr>
        <w:t>.</w:t>
      </w:r>
      <w:r>
        <w:rPr>
          <w:rFonts w:hint="eastAsia" w:ascii="仿宋" w:hAnsi="仿宋" w:eastAsia="仿宋" w:cs="仿宋_GB2312"/>
          <w:sz w:val="28"/>
          <w:szCs w:val="28"/>
        </w:rPr>
        <w:t>1</w:t>
      </w:r>
      <w:r>
        <w:rPr>
          <w:rFonts w:hint="eastAsia" w:ascii="仿宋" w:hAnsi="仿宋" w:eastAsia="仿宋" w:cs="仿宋_GB2312"/>
          <w:sz w:val="28"/>
          <w:szCs w:val="28"/>
          <w:lang w:eastAsia="zh-CN"/>
        </w:rPr>
        <w:t>.</w:t>
      </w:r>
      <w:r>
        <w:rPr>
          <w:rFonts w:hint="eastAsia" w:ascii="仿宋" w:hAnsi="仿宋" w:eastAsia="仿宋" w:cs="仿宋_GB2312"/>
          <w:sz w:val="28"/>
          <w:szCs w:val="28"/>
        </w:rPr>
        <w:t>1专业动态调整</w:t>
      </w:r>
      <w:bookmarkEnd w:id="12"/>
    </w:p>
    <w:p>
      <w:pPr>
        <w:spacing w:line="360" w:lineRule="auto"/>
        <w:ind w:firstLine="560"/>
        <w:jc w:val="both"/>
        <w:rPr>
          <w:rFonts w:ascii="仿宋" w:hAnsi="仿宋" w:eastAsia="仿宋" w:cs="仿宋_GB2312"/>
          <w:sz w:val="28"/>
          <w:szCs w:val="28"/>
          <w:lang w:eastAsia="zh-CN"/>
        </w:rPr>
      </w:pPr>
      <w:r>
        <w:rPr>
          <w:rFonts w:hint="eastAsia" w:ascii="仿宋" w:hAnsi="仿宋" w:eastAsia="仿宋" w:cs="仿宋_GB2312"/>
          <w:sz w:val="28"/>
          <w:szCs w:val="28"/>
          <w:lang w:eastAsia="zh-CN"/>
        </w:rPr>
        <w:t>经</w:t>
      </w:r>
      <w:r>
        <w:rPr>
          <w:rFonts w:hint="eastAsia" w:ascii="仿宋" w:hAnsi="仿宋" w:eastAsia="仿宋" w:cs="仿宋_GB2312"/>
          <w:sz w:val="28"/>
          <w:szCs w:val="28"/>
        </w:rPr>
        <w:t>统计，全市中职学校目前共计开设有</w:t>
      </w:r>
      <w:r>
        <w:rPr>
          <w:rFonts w:hint="eastAsia" w:ascii="仿宋" w:hAnsi="仿宋" w:eastAsia="仿宋" w:cs="仿宋_GB2312"/>
          <w:sz w:val="28"/>
          <w:szCs w:val="28"/>
          <w:lang w:eastAsia="zh-CN"/>
        </w:rPr>
        <w:t>60</w:t>
      </w:r>
      <w:r>
        <w:rPr>
          <w:rFonts w:hint="eastAsia" w:ascii="仿宋" w:hAnsi="仿宋" w:eastAsia="仿宋" w:cs="仿宋_GB2312"/>
          <w:sz w:val="28"/>
          <w:szCs w:val="28"/>
        </w:rPr>
        <w:t>个专业，涉及16个专业大类。</w:t>
      </w:r>
      <w:r>
        <w:rPr>
          <w:rFonts w:hint="eastAsia" w:ascii="仿宋" w:hAnsi="仿宋" w:eastAsia="仿宋" w:cs="仿宋_GB2312"/>
          <w:sz w:val="28"/>
          <w:szCs w:val="28"/>
          <w:lang w:eastAsia="zh-CN"/>
        </w:rPr>
        <w:t>2020年，全市各职业学校围绕“六新”发展，积极对接市场需求，</w:t>
      </w:r>
      <w:r>
        <w:rPr>
          <w:rFonts w:hint="eastAsia" w:ascii="仿宋" w:hAnsi="仿宋" w:eastAsia="仿宋" w:cs="仿宋_GB2312"/>
          <w:sz w:val="28"/>
          <w:szCs w:val="28"/>
        </w:rPr>
        <w:t>新设专业点</w:t>
      </w:r>
      <w:r>
        <w:rPr>
          <w:rFonts w:hint="eastAsia" w:ascii="仿宋" w:hAnsi="仿宋" w:eastAsia="仿宋" w:cs="仿宋_GB2312"/>
          <w:sz w:val="28"/>
          <w:szCs w:val="28"/>
          <w:lang w:eastAsia="zh-CN"/>
        </w:rPr>
        <w:t>14</w:t>
      </w:r>
      <w:r>
        <w:rPr>
          <w:rFonts w:hint="eastAsia" w:ascii="仿宋" w:hAnsi="仿宋" w:eastAsia="仿宋" w:cs="仿宋_GB2312"/>
          <w:sz w:val="28"/>
          <w:szCs w:val="28"/>
        </w:rPr>
        <w:t>个</w:t>
      </w:r>
      <w:r>
        <w:rPr>
          <w:rFonts w:hint="eastAsia" w:ascii="仿宋" w:hAnsi="仿宋" w:eastAsia="仿宋" w:cs="仿宋_GB2312"/>
          <w:sz w:val="28"/>
          <w:szCs w:val="28"/>
          <w:lang w:eastAsia="zh-CN"/>
        </w:rPr>
        <w:t>，丰富、优化了我市职业教育专业构架，夯实了加快发展现代职业教育的基础。</w:t>
      </w:r>
    </w:p>
    <w:p>
      <w:pPr>
        <w:spacing w:line="360" w:lineRule="auto"/>
        <w:ind w:firstLine="560"/>
        <w:jc w:val="both"/>
        <w:rPr>
          <w:rFonts w:ascii="仿宋" w:hAnsi="仿宋" w:eastAsia="仿宋" w:cs="仿宋_GB2312"/>
          <w:sz w:val="28"/>
          <w:szCs w:val="28"/>
          <w:lang w:eastAsia="zh-CN"/>
        </w:rPr>
      </w:pPr>
      <w:r>
        <w:rPr>
          <w:rFonts w:hint="eastAsia" w:ascii="仿宋" w:hAnsi="仿宋" w:eastAsia="仿宋" w:cs="仿宋_GB2312"/>
          <w:sz w:val="28"/>
          <w:szCs w:val="28"/>
          <w:lang w:eastAsia="zh-CN"/>
        </w:rPr>
        <w:t>2020年</w:t>
      </w:r>
      <w:r>
        <w:rPr>
          <w:rFonts w:hint="eastAsia" w:ascii="仿宋" w:hAnsi="仿宋" w:eastAsia="仿宋" w:cs="仿宋_GB2312"/>
          <w:sz w:val="28"/>
          <w:szCs w:val="28"/>
        </w:rPr>
        <w:t>新</w:t>
      </w:r>
      <w:r>
        <w:rPr>
          <w:rFonts w:hint="eastAsia" w:ascii="仿宋" w:hAnsi="仿宋" w:eastAsia="仿宋" w:cs="仿宋_GB2312"/>
          <w:sz w:val="28"/>
          <w:szCs w:val="28"/>
          <w:lang w:eastAsia="zh-CN"/>
        </w:rPr>
        <w:t>开</w:t>
      </w:r>
      <w:r>
        <w:rPr>
          <w:rFonts w:hint="eastAsia" w:ascii="仿宋" w:hAnsi="仿宋" w:eastAsia="仿宋" w:cs="仿宋_GB2312"/>
          <w:sz w:val="28"/>
          <w:szCs w:val="28"/>
        </w:rPr>
        <w:t>设专业点</w:t>
      </w:r>
      <w:r>
        <w:rPr>
          <w:rFonts w:hint="eastAsia" w:ascii="仿宋" w:hAnsi="仿宋" w:eastAsia="仿宋" w:cs="仿宋_GB2312"/>
          <w:sz w:val="28"/>
          <w:szCs w:val="28"/>
          <w:lang w:eastAsia="zh-CN"/>
        </w:rPr>
        <w:t>为</w:t>
      </w:r>
      <w:r>
        <w:rPr>
          <w:rFonts w:hint="eastAsia" w:ascii="仿宋" w:hAnsi="仿宋" w:eastAsia="仿宋" w:cs="仿宋_GB2312"/>
          <w:sz w:val="28"/>
          <w:szCs w:val="28"/>
        </w:rPr>
        <w:t>：大同市职业教育中心</w:t>
      </w:r>
      <w:r>
        <w:rPr>
          <w:rFonts w:hint="eastAsia" w:ascii="仿宋" w:hAnsi="仿宋" w:eastAsia="仿宋" w:cs="仿宋_GB2312"/>
          <w:sz w:val="28"/>
          <w:szCs w:val="28"/>
          <w:lang w:eastAsia="zh-CN"/>
        </w:rPr>
        <w:t>新增</w:t>
      </w:r>
      <w:r>
        <w:rPr>
          <w:rFonts w:hint="eastAsia" w:ascii="仿宋" w:hAnsi="仿宋" w:eastAsia="仿宋" w:cs="仿宋_GB2312"/>
          <w:sz w:val="28"/>
          <w:szCs w:val="28"/>
        </w:rPr>
        <w:t>民族音乐与舞蹈</w:t>
      </w:r>
      <w:r>
        <w:rPr>
          <w:rFonts w:hint="eastAsia" w:ascii="仿宋" w:hAnsi="仿宋" w:eastAsia="仿宋" w:cs="仿宋_GB2312"/>
          <w:sz w:val="28"/>
          <w:szCs w:val="28"/>
          <w:lang w:eastAsia="zh-CN"/>
        </w:rPr>
        <w:t>、工艺美术、播音与节目主持、铁道运输管理专业，大同幼儿师范学校新增幼儿保育专业，大同市第二高级职业中学校新增应急管理与减灾技术、无人机操控与维护专业，大同市新荣区职业技术学校新增计算机平面设计专业，左云县综合技术学校新增无人机操控与维护专业，大同市云冈区职业中学校新增汽车运用与维修专业，浑源县北岳高级职业中学校新增现代农艺技术、中草药种植专业，浑源县大方高级职业学校新增数字媒体技术应用、老年人服务与管理专业。</w:t>
      </w:r>
    </w:p>
    <w:p>
      <w:pPr>
        <w:pStyle w:val="4"/>
        <w:spacing w:before="0" w:after="0" w:line="360" w:lineRule="auto"/>
        <w:ind w:firstLine="560"/>
        <w:jc w:val="both"/>
        <w:rPr>
          <w:rFonts w:ascii="仿宋" w:hAnsi="仿宋" w:eastAsia="仿宋" w:cs="仿宋_GB2312"/>
          <w:sz w:val="28"/>
          <w:szCs w:val="28"/>
        </w:rPr>
      </w:pPr>
      <w:bookmarkStart w:id="13" w:name="_Toc66798298"/>
      <w:r>
        <w:rPr>
          <w:rFonts w:hint="eastAsia" w:ascii="仿宋" w:hAnsi="仿宋" w:eastAsia="仿宋" w:cs="仿宋_GB2312"/>
          <w:sz w:val="28"/>
          <w:szCs w:val="28"/>
        </w:rPr>
        <w:t>3</w:t>
      </w:r>
      <w:r>
        <w:rPr>
          <w:rFonts w:hint="eastAsia" w:ascii="仿宋" w:hAnsi="仿宋" w:eastAsia="仿宋" w:cs="仿宋_GB2312"/>
          <w:sz w:val="28"/>
          <w:szCs w:val="28"/>
          <w:lang w:eastAsia="zh-CN"/>
        </w:rPr>
        <w:t>.</w:t>
      </w:r>
      <w:r>
        <w:rPr>
          <w:rFonts w:hint="eastAsia" w:ascii="仿宋" w:hAnsi="仿宋" w:eastAsia="仿宋" w:cs="仿宋_GB2312"/>
          <w:sz w:val="28"/>
          <w:szCs w:val="28"/>
        </w:rPr>
        <w:t>1</w:t>
      </w:r>
      <w:r>
        <w:rPr>
          <w:rFonts w:hint="eastAsia" w:ascii="仿宋" w:hAnsi="仿宋" w:eastAsia="仿宋" w:cs="仿宋_GB2312"/>
          <w:sz w:val="28"/>
          <w:szCs w:val="28"/>
          <w:lang w:eastAsia="zh-CN"/>
        </w:rPr>
        <w:t>.</w:t>
      </w:r>
      <w:r>
        <w:rPr>
          <w:rFonts w:hint="eastAsia" w:ascii="仿宋" w:hAnsi="仿宋" w:eastAsia="仿宋" w:cs="仿宋_GB2312"/>
          <w:sz w:val="28"/>
          <w:szCs w:val="28"/>
        </w:rPr>
        <w:t>2专业结构优化</w:t>
      </w:r>
      <w:bookmarkEnd w:id="13"/>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lang w:eastAsia="zh-CN"/>
        </w:rPr>
        <w:t>2020</w:t>
      </w:r>
      <w:r>
        <w:rPr>
          <w:rFonts w:hint="eastAsia" w:ascii="仿宋" w:hAnsi="仿宋" w:eastAsia="仿宋" w:cs="仿宋_GB2312"/>
          <w:sz w:val="28"/>
          <w:szCs w:val="28"/>
        </w:rPr>
        <w:t>年，大同市职业教育坚持服务、特色、品牌、扶优导向原则，紧紧围绕区域支柱产业和新兴产业，把专业设置、专业建设与文化旅游</w:t>
      </w:r>
      <w:r>
        <w:rPr>
          <w:rFonts w:hint="eastAsia" w:ascii="仿宋" w:hAnsi="仿宋" w:eastAsia="仿宋" w:cs="仿宋_GB2312"/>
          <w:sz w:val="28"/>
          <w:szCs w:val="28"/>
          <w:lang w:eastAsia="zh-CN"/>
        </w:rPr>
        <w:t>、</w:t>
      </w:r>
      <w:r>
        <w:rPr>
          <w:rFonts w:hint="eastAsia" w:ascii="仿宋" w:hAnsi="仿宋" w:eastAsia="仿宋" w:cs="仿宋_GB2312"/>
          <w:sz w:val="28"/>
          <w:szCs w:val="28"/>
        </w:rPr>
        <w:t>现代农业、装备制造、新能源等产业领域紧密对接起来，把职业教育与改善民生、服务全市经济建设、构建终身教育体系对接起来，进一步健全专业随产业发展动态调整机制，积极培育和强化特色专业，全力打造和提升主干专业，建立布局合理、定位准确、结构优化、品牌纷呈的具有大同特色的中等职业教育专业体系，逐步形成校际之间错位竞争、优势互补、各具特色、有序发展的专业建设新格局。</w:t>
      </w:r>
    </w:p>
    <w:p>
      <w:pPr>
        <w:pStyle w:val="4"/>
        <w:spacing w:before="0" w:after="0" w:line="360" w:lineRule="auto"/>
        <w:ind w:firstLine="560"/>
        <w:jc w:val="both"/>
        <w:rPr>
          <w:rFonts w:ascii="仿宋" w:hAnsi="仿宋" w:eastAsia="仿宋" w:cs="楷体"/>
          <w:bCs w:val="0"/>
          <w:sz w:val="28"/>
          <w:szCs w:val="28"/>
        </w:rPr>
      </w:pPr>
      <w:bookmarkStart w:id="14" w:name="_Toc66798299"/>
      <w:r>
        <w:rPr>
          <w:rFonts w:hint="eastAsia" w:ascii="仿宋" w:hAnsi="仿宋" w:eastAsia="仿宋" w:cs="楷体"/>
          <w:bCs w:val="0"/>
          <w:sz w:val="28"/>
          <w:szCs w:val="28"/>
        </w:rPr>
        <w:t>3</w:t>
      </w:r>
      <w:r>
        <w:rPr>
          <w:rFonts w:hint="eastAsia" w:ascii="仿宋" w:hAnsi="仿宋" w:eastAsia="仿宋" w:cs="楷体"/>
          <w:bCs w:val="0"/>
          <w:sz w:val="28"/>
          <w:szCs w:val="28"/>
          <w:lang w:eastAsia="zh-CN"/>
        </w:rPr>
        <w:t>.</w:t>
      </w:r>
      <w:r>
        <w:rPr>
          <w:rFonts w:hint="eastAsia" w:ascii="仿宋" w:hAnsi="仿宋" w:eastAsia="仿宋" w:cs="楷体"/>
          <w:bCs w:val="0"/>
          <w:sz w:val="28"/>
          <w:szCs w:val="28"/>
        </w:rPr>
        <w:t>2质量保证</w:t>
      </w:r>
      <w:bookmarkEnd w:id="14"/>
    </w:p>
    <w:p>
      <w:pPr>
        <w:pStyle w:val="4"/>
        <w:spacing w:before="0" w:after="0" w:line="360" w:lineRule="auto"/>
        <w:ind w:firstLine="560"/>
        <w:jc w:val="both"/>
        <w:rPr>
          <w:rFonts w:ascii="仿宋" w:hAnsi="仿宋" w:eastAsia="仿宋" w:cs="仿宋_GB2312"/>
          <w:sz w:val="28"/>
          <w:szCs w:val="28"/>
        </w:rPr>
      </w:pPr>
      <w:bookmarkStart w:id="15" w:name="_Toc66798300"/>
      <w:r>
        <w:rPr>
          <w:rFonts w:hint="eastAsia" w:ascii="仿宋" w:hAnsi="仿宋" w:eastAsia="仿宋" w:cs="仿宋_GB2312"/>
          <w:sz w:val="28"/>
          <w:szCs w:val="28"/>
        </w:rPr>
        <w:t>3</w:t>
      </w:r>
      <w:r>
        <w:rPr>
          <w:rFonts w:hint="eastAsia" w:ascii="仿宋" w:hAnsi="仿宋" w:eastAsia="仿宋" w:cs="仿宋_GB2312"/>
          <w:sz w:val="28"/>
          <w:szCs w:val="28"/>
          <w:lang w:eastAsia="zh-CN"/>
        </w:rPr>
        <w:t>.</w:t>
      </w:r>
      <w:r>
        <w:rPr>
          <w:rFonts w:hint="eastAsia" w:ascii="仿宋" w:hAnsi="仿宋" w:eastAsia="仿宋" w:cs="仿宋_GB2312"/>
          <w:sz w:val="28"/>
          <w:szCs w:val="28"/>
        </w:rPr>
        <w:t>2</w:t>
      </w:r>
      <w:r>
        <w:rPr>
          <w:rFonts w:hint="eastAsia" w:ascii="仿宋" w:hAnsi="仿宋" w:eastAsia="仿宋" w:cs="仿宋_GB2312"/>
          <w:sz w:val="28"/>
          <w:szCs w:val="28"/>
          <w:lang w:eastAsia="zh-CN"/>
        </w:rPr>
        <w:t>.</w:t>
      </w:r>
      <w:r>
        <w:rPr>
          <w:rFonts w:hint="eastAsia" w:ascii="仿宋" w:hAnsi="仿宋" w:eastAsia="仿宋" w:cs="仿宋_GB2312"/>
          <w:sz w:val="28"/>
          <w:szCs w:val="28"/>
        </w:rPr>
        <w:t>1质量监控体系建设</w:t>
      </w:r>
      <w:bookmarkEnd w:id="15"/>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lang w:eastAsia="zh-CN"/>
        </w:rPr>
        <w:t>2020</w:t>
      </w:r>
      <w:r>
        <w:rPr>
          <w:rFonts w:hint="eastAsia" w:ascii="仿宋" w:hAnsi="仿宋" w:eastAsia="仿宋" w:cs="仿宋_GB2312"/>
          <w:sz w:val="28"/>
          <w:szCs w:val="28"/>
        </w:rPr>
        <w:t>年，</w:t>
      </w:r>
      <w:r>
        <w:rPr>
          <w:rFonts w:hint="eastAsia" w:ascii="仿宋" w:hAnsi="仿宋" w:eastAsia="仿宋" w:cs="仿宋_GB2312"/>
          <w:sz w:val="28"/>
          <w:szCs w:val="28"/>
          <w:lang w:eastAsia="zh-CN"/>
        </w:rPr>
        <w:t>大同</w:t>
      </w:r>
      <w:r>
        <w:rPr>
          <w:rFonts w:hint="eastAsia" w:ascii="仿宋" w:hAnsi="仿宋" w:eastAsia="仿宋" w:cs="仿宋_GB2312"/>
          <w:sz w:val="28"/>
          <w:szCs w:val="28"/>
        </w:rPr>
        <w:t>市职业教育严格贯彻国家、省、市文件精神，以</w:t>
      </w:r>
      <w:r>
        <w:rPr>
          <w:rFonts w:hint="eastAsia" w:ascii="仿宋" w:hAnsi="仿宋" w:eastAsia="仿宋" w:cs="仿宋_GB2312"/>
          <w:sz w:val="28"/>
          <w:szCs w:val="28"/>
          <w:lang w:eastAsia="zh-CN"/>
        </w:rPr>
        <w:t>《国家职业教育改革实施方案》及教育部一系列配套文件</w:t>
      </w:r>
      <w:r>
        <w:rPr>
          <w:rFonts w:hint="eastAsia" w:ascii="仿宋" w:hAnsi="仿宋" w:eastAsia="仿宋" w:cs="仿宋_GB2312"/>
          <w:sz w:val="28"/>
          <w:szCs w:val="28"/>
        </w:rPr>
        <w:t>为</w:t>
      </w:r>
      <w:r>
        <w:rPr>
          <w:rFonts w:hint="eastAsia" w:ascii="仿宋" w:hAnsi="仿宋" w:eastAsia="仿宋" w:cs="仿宋_GB2312"/>
          <w:sz w:val="28"/>
          <w:szCs w:val="28"/>
          <w:lang w:eastAsia="zh-CN"/>
        </w:rPr>
        <w:t>依据，</w:t>
      </w:r>
      <w:r>
        <w:rPr>
          <w:rFonts w:hint="eastAsia" w:ascii="仿宋" w:hAnsi="仿宋" w:eastAsia="仿宋" w:cs="仿宋_GB2312"/>
          <w:sz w:val="28"/>
          <w:szCs w:val="28"/>
        </w:rPr>
        <w:t>以</w:t>
      </w:r>
      <w:r>
        <w:rPr>
          <w:rFonts w:hint="eastAsia" w:ascii="仿宋" w:hAnsi="仿宋" w:eastAsia="仿宋" w:cs="仿宋_GB2312"/>
          <w:sz w:val="28"/>
          <w:szCs w:val="28"/>
          <w:lang w:eastAsia="zh-CN"/>
        </w:rPr>
        <w:t>职业教育资源整合提升</w:t>
      </w:r>
      <w:r>
        <w:rPr>
          <w:rFonts w:hint="eastAsia" w:ascii="仿宋" w:hAnsi="仿宋" w:eastAsia="仿宋" w:cs="仿宋_GB2312"/>
          <w:sz w:val="28"/>
          <w:szCs w:val="28"/>
        </w:rPr>
        <w:t>为切入点，以强化职业教育宣传为</w:t>
      </w:r>
      <w:r>
        <w:rPr>
          <w:rFonts w:hint="eastAsia" w:ascii="仿宋" w:hAnsi="仿宋" w:eastAsia="仿宋" w:cs="仿宋_GB2312"/>
          <w:sz w:val="28"/>
          <w:szCs w:val="28"/>
          <w:lang w:eastAsia="zh-CN"/>
        </w:rPr>
        <w:t>落脚点</w:t>
      </w:r>
      <w:r>
        <w:rPr>
          <w:rFonts w:hint="eastAsia" w:ascii="仿宋" w:hAnsi="仿宋" w:eastAsia="仿宋" w:cs="仿宋_GB2312"/>
          <w:sz w:val="28"/>
          <w:szCs w:val="28"/>
        </w:rPr>
        <w:t>，重点探索校企合作、产教融合，稳步推进各项工作任务。</w:t>
      </w:r>
    </w:p>
    <w:p>
      <w:pPr>
        <w:spacing w:line="360" w:lineRule="auto"/>
        <w:ind w:firstLine="560"/>
        <w:jc w:val="both"/>
        <w:rPr>
          <w:rFonts w:ascii="仿宋" w:hAnsi="仿宋" w:eastAsia="仿宋" w:cs="仿宋_GB2312"/>
          <w:sz w:val="28"/>
          <w:szCs w:val="28"/>
          <w:lang w:eastAsia="zh-CN"/>
        </w:rPr>
      </w:pPr>
      <w:r>
        <w:rPr>
          <w:rFonts w:hint="eastAsia" w:ascii="仿宋" w:hAnsi="仿宋" w:eastAsia="仿宋" w:cs="仿宋_GB2312"/>
          <w:sz w:val="28"/>
          <w:szCs w:val="28"/>
          <w:lang w:eastAsia="zh-CN"/>
        </w:rPr>
        <w:t>1.稳扎稳打，指导全市职业学校做好常规教学工作</w:t>
      </w:r>
    </w:p>
    <w:p>
      <w:pPr>
        <w:spacing w:line="360" w:lineRule="auto"/>
        <w:ind w:firstLine="560"/>
        <w:jc w:val="both"/>
        <w:rPr>
          <w:rFonts w:ascii="仿宋" w:hAnsi="仿宋" w:eastAsia="仿宋" w:cs="仿宋_GB2312"/>
          <w:sz w:val="28"/>
          <w:szCs w:val="28"/>
          <w:lang w:eastAsia="zh-CN"/>
        </w:rPr>
      </w:pPr>
      <w:r>
        <w:rPr>
          <w:rFonts w:hint="eastAsia" w:ascii="仿宋" w:hAnsi="仿宋" w:eastAsia="仿宋" w:cs="仿宋_GB2312"/>
          <w:sz w:val="28"/>
          <w:szCs w:val="28"/>
          <w:lang w:eastAsia="zh-CN"/>
        </w:rPr>
        <w:t>一是对属地内33所中等职业学校学历教育招生资质进行了核查，认定市一职中、市二职中等具备招生资质的学校27所，灵丘职中、灵丘天骄职中、云冈武校3所学校限期整改且2020年暂时允许招生，机电职业技术学校、平城区职中2所学校限期整改且2020年停止招生，云冈</w:t>
      </w:r>
      <w:r>
        <w:rPr>
          <w:rFonts w:hint="eastAsia" w:ascii="仿宋" w:hAnsi="仿宋" w:eastAsia="仿宋" w:cs="仿宋_GB2312"/>
          <w:sz w:val="28"/>
          <w:szCs w:val="28"/>
        </w:rPr>
        <w:t>区职业</w:t>
      </w:r>
      <w:r>
        <w:rPr>
          <w:rFonts w:hint="eastAsia" w:ascii="仿宋" w:hAnsi="仿宋" w:eastAsia="仿宋" w:cs="仿宋_GB2312"/>
          <w:sz w:val="28"/>
          <w:szCs w:val="28"/>
          <w:lang w:eastAsia="zh-CN"/>
        </w:rPr>
        <w:t>技术</w:t>
      </w:r>
      <w:r>
        <w:rPr>
          <w:rFonts w:hint="eastAsia" w:ascii="仿宋" w:hAnsi="仿宋" w:eastAsia="仿宋" w:cs="仿宋_GB2312"/>
          <w:sz w:val="28"/>
          <w:szCs w:val="28"/>
        </w:rPr>
        <w:t>学校</w:t>
      </w:r>
      <w:r>
        <w:rPr>
          <w:rFonts w:hint="eastAsia" w:ascii="仿宋" w:hAnsi="仿宋" w:eastAsia="仿宋" w:cs="仿宋_GB2312"/>
          <w:sz w:val="28"/>
          <w:szCs w:val="28"/>
          <w:lang w:eastAsia="zh-CN"/>
        </w:rPr>
        <w:t>取消招生资质，并入云冈区职业中学。通过资质核查，摸清了全市职业学校底数，为统筹推进资源整合、布局</w:t>
      </w:r>
      <w:r>
        <w:rPr>
          <w:rFonts w:ascii="仿宋" w:hAnsi="仿宋" w:eastAsia="仿宋" w:cs="仿宋_GB2312"/>
          <w:sz w:val="28"/>
          <w:szCs w:val="28"/>
          <w:lang w:eastAsia="zh-CN"/>
        </w:rPr>
        <w:t>调整和基本办学条件达标建设</w:t>
      </w:r>
      <w:r>
        <w:rPr>
          <w:rFonts w:hint="eastAsia" w:ascii="仿宋" w:hAnsi="仿宋" w:eastAsia="仿宋" w:cs="仿宋_GB2312"/>
          <w:sz w:val="28"/>
          <w:szCs w:val="28"/>
          <w:lang w:eastAsia="zh-CN"/>
        </w:rPr>
        <w:t>奠定了基础。二是印发了《2020年中等职业学校招生工作实施方案》和《关于做好2020年中等职业学校招生工作的通知》，督促全市各职业学校规范自身招生行为，重申中职学籍管理制度，为推动职业学校招生工作有序开展创造了良好的条件，较好地完成了年度招生任务。三是按照国家统一部署，同时结合新冠肺炎疫情防控要求，指导各职业学校开展了以“人人出彩 技能强国”为主题的职业教育活动周，积极宣传展示了我市职业教育在助力疫情防控、支持复工复产、促进就业创业、服务地方经济等方面的成效，进一步营造了全社会关心支持职业教育的良好氛围。</w:t>
      </w:r>
    </w:p>
    <w:p>
      <w:pPr>
        <w:spacing w:line="360" w:lineRule="auto"/>
        <w:ind w:firstLine="560"/>
        <w:jc w:val="both"/>
        <w:rPr>
          <w:rFonts w:ascii="仿宋" w:hAnsi="仿宋" w:eastAsia="仿宋" w:cs="仿宋_GB2312"/>
          <w:sz w:val="28"/>
          <w:szCs w:val="28"/>
          <w:lang w:eastAsia="zh-CN"/>
        </w:rPr>
      </w:pPr>
      <w:r>
        <w:rPr>
          <w:rFonts w:hint="eastAsia" w:ascii="仿宋" w:hAnsi="仿宋" w:eastAsia="仿宋" w:cs="仿宋_GB2312"/>
          <w:sz w:val="28"/>
          <w:szCs w:val="28"/>
          <w:lang w:eastAsia="zh-CN"/>
        </w:rPr>
        <w:t>2.稳中求进，推动职业教育资源整合，完善体系建设</w:t>
      </w:r>
    </w:p>
    <w:p>
      <w:pPr>
        <w:spacing w:line="360" w:lineRule="auto"/>
        <w:ind w:firstLine="560"/>
        <w:jc w:val="both"/>
        <w:rPr>
          <w:rFonts w:ascii="仿宋" w:hAnsi="仿宋" w:eastAsia="仿宋" w:cs="仿宋_GB2312"/>
          <w:sz w:val="28"/>
          <w:szCs w:val="28"/>
          <w:lang w:eastAsia="zh-CN"/>
        </w:rPr>
      </w:pPr>
      <w:r>
        <w:rPr>
          <w:rFonts w:hint="eastAsia" w:ascii="仿宋" w:hAnsi="仿宋" w:eastAsia="仿宋" w:cs="仿宋_GB2312"/>
          <w:sz w:val="28"/>
          <w:szCs w:val="28"/>
          <w:lang w:eastAsia="zh-CN"/>
        </w:rPr>
        <w:t>一是经实地调研和勘察，结合全市职业教育整合需求，编写了大同市职教城概念规划方案，并在市政府常务会上通过，项目名称定为转型职业教育城建设项目。后在分管局领导的带领下赴天津海河教育园区、晋中职教城进行了实地考察并形成了调研报告，为职教城建设项目提出了若干建议。</w:t>
      </w:r>
      <w:r>
        <w:rPr>
          <w:rFonts w:hint="eastAsia" w:ascii="仿宋" w:hAnsi="仿宋" w:eastAsia="仿宋" w:cs="仿宋_GB2312"/>
          <w:sz w:val="28"/>
          <w:szCs w:val="28"/>
        </w:rPr>
        <w:t>11月26日，</w:t>
      </w:r>
      <w:r>
        <w:rPr>
          <w:rFonts w:hint="eastAsia" w:ascii="仿宋" w:hAnsi="仿宋" w:eastAsia="仿宋" w:cs="仿宋_GB2312"/>
          <w:sz w:val="28"/>
          <w:szCs w:val="28"/>
          <w:lang w:eastAsia="zh-CN"/>
        </w:rPr>
        <w:t>郭蕾副市长</w:t>
      </w:r>
      <w:r>
        <w:rPr>
          <w:rFonts w:hint="eastAsia" w:ascii="仿宋" w:hAnsi="仿宋" w:eastAsia="仿宋" w:cs="仿宋_GB2312"/>
          <w:sz w:val="28"/>
          <w:szCs w:val="28"/>
        </w:rPr>
        <w:t>召集</w:t>
      </w:r>
      <w:r>
        <w:rPr>
          <w:rFonts w:hint="eastAsia" w:ascii="仿宋" w:hAnsi="仿宋" w:eastAsia="仿宋" w:cs="仿宋_GB2312"/>
          <w:sz w:val="28"/>
          <w:szCs w:val="28"/>
          <w:lang w:eastAsia="zh-CN"/>
        </w:rPr>
        <w:t>相</w:t>
      </w:r>
      <w:r>
        <w:rPr>
          <w:rFonts w:hint="eastAsia" w:ascii="仿宋" w:hAnsi="仿宋" w:eastAsia="仿宋" w:cs="仿宋_GB2312"/>
          <w:sz w:val="28"/>
          <w:szCs w:val="28"/>
        </w:rPr>
        <w:t>关部门和单位</w:t>
      </w:r>
      <w:r>
        <w:rPr>
          <w:rFonts w:hint="eastAsia" w:ascii="仿宋" w:hAnsi="仿宋" w:eastAsia="仿宋" w:cs="仿宋_GB2312"/>
          <w:sz w:val="28"/>
          <w:szCs w:val="28"/>
          <w:lang w:eastAsia="zh-CN"/>
        </w:rPr>
        <w:t>负责人</w:t>
      </w:r>
      <w:r>
        <w:rPr>
          <w:rFonts w:hint="eastAsia" w:ascii="仿宋" w:hAnsi="仿宋" w:eastAsia="仿宋" w:cs="仿宋_GB2312"/>
          <w:sz w:val="28"/>
          <w:szCs w:val="28"/>
        </w:rPr>
        <w:t>，就转型职教城项目建设进行了</w:t>
      </w:r>
      <w:r>
        <w:rPr>
          <w:rFonts w:hint="eastAsia" w:ascii="仿宋" w:hAnsi="仿宋" w:eastAsia="仿宋" w:cs="仿宋_GB2312"/>
          <w:sz w:val="28"/>
          <w:szCs w:val="28"/>
          <w:lang w:eastAsia="zh-CN"/>
        </w:rPr>
        <w:t>深入</w:t>
      </w:r>
      <w:r>
        <w:rPr>
          <w:rFonts w:hint="eastAsia" w:ascii="仿宋" w:hAnsi="仿宋" w:eastAsia="仿宋" w:cs="仿宋_GB2312"/>
          <w:sz w:val="28"/>
          <w:szCs w:val="28"/>
        </w:rPr>
        <w:t>研究和</w:t>
      </w:r>
      <w:r>
        <w:rPr>
          <w:rFonts w:hint="eastAsia" w:ascii="仿宋" w:hAnsi="仿宋" w:eastAsia="仿宋" w:cs="仿宋_GB2312"/>
          <w:sz w:val="28"/>
          <w:szCs w:val="28"/>
          <w:lang w:eastAsia="zh-CN"/>
        </w:rPr>
        <w:t>具体</w:t>
      </w:r>
      <w:r>
        <w:rPr>
          <w:rFonts w:hint="eastAsia" w:ascii="仿宋" w:hAnsi="仿宋" w:eastAsia="仿宋" w:cs="仿宋_GB2312"/>
          <w:sz w:val="28"/>
          <w:szCs w:val="28"/>
        </w:rPr>
        <w:t>部署，初步厘清了建设思路，成立了工作专班</w:t>
      </w:r>
      <w:r>
        <w:rPr>
          <w:rFonts w:hint="eastAsia" w:ascii="仿宋" w:hAnsi="仿宋" w:eastAsia="仿宋" w:cs="仿宋_GB2312"/>
          <w:sz w:val="28"/>
          <w:szCs w:val="28"/>
          <w:lang w:eastAsia="zh-CN"/>
        </w:rPr>
        <w:t>，为职教城项目有序推进打好了基础。二是继续推动山西通航职业技术学院建设发展。学院于今年1月顺利通过省教育厅专家组现场评估验收，3月18日省政府常务会同意设立，3月23日省政府正式下发批复文件。5月下旬学院开展单独招生，9月正式招生，10月9日新生开始报到，10月23日816名新生顺利完成军训。10月</w:t>
      </w:r>
      <w:r>
        <w:rPr>
          <w:rFonts w:hint="eastAsia" w:ascii="仿宋" w:hAnsi="仿宋" w:eastAsia="仿宋" w:cs="仿宋_GB2312"/>
          <w:sz w:val="28"/>
          <w:szCs w:val="28"/>
        </w:rPr>
        <w:t>24日，</w:t>
      </w:r>
      <w:r>
        <w:rPr>
          <w:rFonts w:hint="eastAsia" w:ascii="仿宋" w:hAnsi="仿宋" w:eastAsia="仿宋" w:cs="仿宋_GB2312"/>
          <w:sz w:val="28"/>
          <w:szCs w:val="28"/>
          <w:lang w:eastAsia="zh-CN"/>
        </w:rPr>
        <w:t>山西通用航空职业技术学院揭牌暨首届新生开学典礼在学院报告厅隆重举行。通航学院的建成填补了我市工科类高职院校的空白，为我市中职学校学生提供了更多的升学选择，也为全市通航产业的发展提供了坚实支撑。三是对我市2020年“三二分段”五年制职业教育招生专业进行了统计、汇总、审核和备案。全市12所中职学校，与省内16所高职院校的36个专业建立了分段培养关系，完善了我市中、高等职业教育衔接沟通的技能型人才培养体系，为进一步满足学生成长成才需求做好了准备。</w:t>
      </w:r>
    </w:p>
    <w:p>
      <w:pPr>
        <w:spacing w:line="360" w:lineRule="auto"/>
        <w:ind w:firstLine="560"/>
        <w:jc w:val="both"/>
        <w:rPr>
          <w:rFonts w:ascii="仿宋" w:hAnsi="仿宋" w:eastAsia="仿宋" w:cs="仿宋_GB2312"/>
          <w:sz w:val="28"/>
          <w:szCs w:val="28"/>
          <w:lang w:eastAsia="zh-CN"/>
        </w:rPr>
      </w:pPr>
      <w:r>
        <w:rPr>
          <w:rFonts w:hint="eastAsia" w:ascii="仿宋" w:hAnsi="仿宋" w:eastAsia="仿宋" w:cs="仿宋_GB2312"/>
          <w:sz w:val="28"/>
          <w:szCs w:val="28"/>
          <w:lang w:eastAsia="zh-CN"/>
        </w:rPr>
        <w:t>3.稳中求变，深化职业教育改革，创新人才培养模式</w:t>
      </w:r>
    </w:p>
    <w:p>
      <w:pPr>
        <w:spacing w:line="360" w:lineRule="auto"/>
        <w:ind w:firstLine="560"/>
        <w:jc w:val="both"/>
        <w:rPr>
          <w:rFonts w:ascii="仿宋" w:hAnsi="仿宋" w:eastAsia="仿宋" w:cs="仿宋_GB2312"/>
          <w:sz w:val="28"/>
          <w:szCs w:val="28"/>
          <w:lang w:eastAsia="zh-CN"/>
        </w:rPr>
      </w:pPr>
      <w:r>
        <w:rPr>
          <w:rFonts w:hint="eastAsia" w:ascii="仿宋" w:hAnsi="仿宋" w:eastAsia="仿宋" w:cs="仿宋_GB2312"/>
          <w:sz w:val="28"/>
          <w:szCs w:val="28"/>
          <w:lang w:eastAsia="zh-CN"/>
        </w:rPr>
        <w:t>一是组织市职教中心、兴同艺术师范学校等5所学校职业学校11个职业技能等级证书试点申报第三批“1+X”证书制度试点并成功获得省厅批复。全市7所中职学校21个职业技能等级证书试点积极完善学校专业人才培养方案，统筹用好教学资源，稳妥推进“1+X” 证书制度试点工作建设，力争</w:t>
      </w:r>
      <w:r>
        <w:rPr>
          <w:rFonts w:hint="eastAsia" w:ascii="仿宋" w:hAnsi="仿宋" w:eastAsia="仿宋" w:cs="仿宋_GB2312"/>
          <w:sz w:val="28"/>
          <w:szCs w:val="28"/>
        </w:rPr>
        <w:t>实现毕业证书与职业技能等级证书之间的衔接与融通，</w:t>
      </w:r>
      <w:r>
        <w:rPr>
          <w:rFonts w:hint="eastAsia" w:ascii="仿宋" w:hAnsi="仿宋" w:eastAsia="仿宋" w:cs="仿宋_GB2312"/>
          <w:sz w:val="28"/>
          <w:szCs w:val="28"/>
          <w:lang w:eastAsia="zh-CN"/>
        </w:rPr>
        <w:t>提</w:t>
      </w:r>
      <w:r>
        <w:rPr>
          <w:rFonts w:hint="eastAsia" w:ascii="仿宋" w:hAnsi="仿宋" w:eastAsia="仿宋" w:cs="仿宋_GB2312"/>
          <w:sz w:val="28"/>
          <w:szCs w:val="28"/>
        </w:rPr>
        <w:t>升学生面向未来的工作能力、生存能力，为学生高质量就业和体面生活奠定基础。</w:t>
      </w:r>
      <w:r>
        <w:rPr>
          <w:rFonts w:hint="eastAsia" w:ascii="仿宋" w:hAnsi="仿宋" w:eastAsia="仿宋" w:cs="仿宋_GB2312"/>
          <w:sz w:val="28"/>
          <w:szCs w:val="28"/>
          <w:lang w:eastAsia="zh-CN"/>
        </w:rPr>
        <w:t>市卫生学校作为第一批试点单位，组织学生参加了老年照护职业技能等级证书（初级）理论考试和实操考核，参加人数合计120人，理论考试75人合格，合格率为62.5%；实操考核104人合格，合格率为86.7%，学生获证率为57.5%，位居全省中职层次试点学校首位。“1+X”证书制度试点的建设，为</w:t>
      </w:r>
      <w:r>
        <w:rPr>
          <w:rFonts w:hint="eastAsia" w:ascii="仿宋" w:hAnsi="仿宋" w:eastAsia="仿宋" w:cs="仿宋_GB2312"/>
          <w:sz w:val="28"/>
          <w:szCs w:val="28"/>
        </w:rPr>
        <w:t>实现毕业证书与职业技能等级证书之间的衔接与融通</w:t>
      </w:r>
      <w:r>
        <w:rPr>
          <w:rFonts w:hint="eastAsia" w:ascii="仿宋" w:hAnsi="仿宋" w:eastAsia="仿宋" w:cs="仿宋_GB2312"/>
          <w:sz w:val="28"/>
          <w:szCs w:val="28"/>
          <w:lang w:eastAsia="zh-CN"/>
        </w:rPr>
        <w:t>、提</w:t>
      </w:r>
      <w:r>
        <w:rPr>
          <w:rFonts w:hint="eastAsia" w:ascii="仿宋" w:hAnsi="仿宋" w:eastAsia="仿宋" w:cs="仿宋_GB2312"/>
          <w:sz w:val="28"/>
          <w:szCs w:val="28"/>
        </w:rPr>
        <w:t>升学生面向未来的工作能力</w:t>
      </w:r>
      <w:r>
        <w:rPr>
          <w:rFonts w:hint="eastAsia" w:ascii="仿宋" w:hAnsi="仿宋" w:eastAsia="仿宋" w:cs="仿宋_GB2312"/>
          <w:sz w:val="28"/>
          <w:szCs w:val="28"/>
          <w:lang w:eastAsia="zh-CN"/>
        </w:rPr>
        <w:t>和</w:t>
      </w:r>
      <w:r>
        <w:rPr>
          <w:rFonts w:hint="eastAsia" w:ascii="仿宋" w:hAnsi="仿宋" w:eastAsia="仿宋" w:cs="仿宋_GB2312"/>
          <w:sz w:val="28"/>
          <w:szCs w:val="28"/>
        </w:rPr>
        <w:t>生存能力</w:t>
      </w:r>
      <w:r>
        <w:rPr>
          <w:rFonts w:hint="eastAsia" w:ascii="仿宋" w:hAnsi="仿宋" w:eastAsia="仿宋" w:cs="仿宋_GB2312"/>
          <w:sz w:val="28"/>
          <w:szCs w:val="28"/>
          <w:lang w:eastAsia="zh-CN"/>
        </w:rPr>
        <w:t>奠定了基础。</w:t>
      </w:r>
    </w:p>
    <w:p>
      <w:pPr>
        <w:spacing w:line="360" w:lineRule="auto"/>
        <w:ind w:firstLine="560"/>
        <w:jc w:val="both"/>
        <w:rPr>
          <w:rFonts w:ascii="仿宋" w:hAnsi="仿宋" w:eastAsia="仿宋" w:cs="仿宋_GB2312"/>
          <w:sz w:val="28"/>
          <w:szCs w:val="28"/>
          <w:lang w:eastAsia="zh-CN"/>
        </w:rPr>
      </w:pPr>
      <w:r>
        <w:rPr>
          <w:rFonts w:hint="eastAsia" w:ascii="仿宋" w:hAnsi="仿宋" w:eastAsia="仿宋" w:cs="仿宋_GB2312"/>
          <w:sz w:val="28"/>
          <w:szCs w:val="28"/>
          <w:lang w:eastAsia="zh-CN"/>
        </w:rPr>
        <w:t>二是组织邀请全市各职业学校、普通中学的校长和教务主任，以及相关行业企业代表，围绕“进得来、留得住、出得去”开展了专题研讨，就各职业学校如何在招生、教学、实训、就业方面实现创新突破发展开展了热烈地讨论。</w:t>
      </w:r>
    </w:p>
    <w:p>
      <w:pPr>
        <w:pStyle w:val="2"/>
        <w:ind w:left="0" w:leftChars="0" w:firstLine="0" w:firstLineChars="0"/>
        <w:jc w:val="center"/>
        <w:rPr>
          <w:rFonts w:eastAsia="仿宋"/>
          <w:lang w:eastAsia="zh-CN"/>
        </w:rPr>
      </w:pPr>
      <w:r>
        <w:drawing>
          <wp:inline distT="0" distB="0" distL="0" distR="0">
            <wp:extent cx="5274310" cy="2435860"/>
            <wp:effectExtent l="0" t="0" r="2540" b="254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2435860"/>
                    </a:xfrm>
                    <a:prstGeom prst="rect">
                      <a:avLst/>
                    </a:prstGeom>
                    <a:noFill/>
                    <a:ln>
                      <a:noFill/>
                    </a:ln>
                  </pic:spPr>
                </pic:pic>
              </a:graphicData>
            </a:graphic>
          </wp:inline>
        </w:drawing>
      </w:r>
    </w:p>
    <w:p>
      <w:pPr>
        <w:pStyle w:val="2"/>
        <w:ind w:left="0" w:leftChars="0" w:firstLine="0" w:firstLineChars="0"/>
        <w:jc w:val="center"/>
        <w:rPr>
          <w:rFonts w:eastAsia="仿宋"/>
          <w:lang w:eastAsia="zh-CN"/>
        </w:rPr>
      </w:pPr>
    </w:p>
    <w:p>
      <w:pPr>
        <w:spacing w:after="120" w:line="360" w:lineRule="auto"/>
        <w:jc w:val="center"/>
        <w:rPr>
          <w:rFonts w:ascii="黑体" w:hAnsi="黑体" w:eastAsia="黑体"/>
          <w:b/>
          <w:bCs/>
          <w:lang w:eastAsia="zh-CN"/>
        </w:rPr>
      </w:pPr>
      <w:r>
        <w:rPr>
          <w:rFonts w:ascii="黑体" w:hAnsi="黑体" w:eastAsia="黑体"/>
          <w:b/>
          <w:bCs/>
          <w:lang w:eastAsia="zh-CN"/>
        </w:rPr>
        <w:t>大同市教育局组织“</w:t>
      </w:r>
      <w:r>
        <w:rPr>
          <w:rFonts w:hint="eastAsia" w:ascii="黑体" w:hAnsi="黑体" w:eastAsia="黑体"/>
          <w:b/>
          <w:bCs/>
          <w:lang w:eastAsia="zh-CN"/>
        </w:rPr>
        <w:t>进的来、留得住、出得去</w:t>
      </w:r>
      <w:r>
        <w:rPr>
          <w:rFonts w:ascii="黑体" w:hAnsi="黑体" w:eastAsia="黑体"/>
          <w:b/>
          <w:bCs/>
          <w:lang w:eastAsia="zh-CN"/>
        </w:rPr>
        <w:t>”</w:t>
      </w:r>
      <w:r>
        <w:rPr>
          <w:rFonts w:hint="eastAsia" w:ascii="黑体" w:hAnsi="黑体" w:eastAsia="黑体"/>
          <w:b/>
          <w:bCs/>
          <w:lang w:eastAsia="zh-CN"/>
        </w:rPr>
        <w:t>主题研讨会</w:t>
      </w:r>
    </w:p>
    <w:p>
      <w:pPr>
        <w:spacing w:line="360" w:lineRule="auto"/>
        <w:ind w:firstLine="560"/>
        <w:jc w:val="both"/>
        <w:rPr>
          <w:rFonts w:ascii="仿宋" w:hAnsi="仿宋" w:eastAsia="仿宋" w:cs="仿宋_GB2312"/>
          <w:sz w:val="28"/>
          <w:szCs w:val="28"/>
          <w:lang w:eastAsia="zh-CN"/>
        </w:rPr>
      </w:pPr>
      <w:r>
        <w:rPr>
          <w:rFonts w:hint="eastAsia" w:ascii="仿宋" w:hAnsi="仿宋" w:eastAsia="仿宋" w:cs="仿宋_GB2312"/>
          <w:sz w:val="28"/>
          <w:szCs w:val="28"/>
          <w:lang w:eastAsia="zh-CN"/>
        </w:rPr>
        <w:t>专题研讨会有效地凝聚了共识，拓宽了思路，有力地推动职业学校改革工作走向深入。</w:t>
      </w:r>
    </w:p>
    <w:p>
      <w:pPr>
        <w:spacing w:line="360" w:lineRule="auto"/>
        <w:ind w:firstLine="560"/>
        <w:jc w:val="both"/>
        <w:rPr>
          <w:rFonts w:ascii="仿宋" w:hAnsi="仿宋" w:eastAsia="仿宋" w:cs="仿宋_GB2312"/>
          <w:sz w:val="28"/>
          <w:szCs w:val="28"/>
          <w:lang w:eastAsia="zh-CN"/>
        </w:rPr>
      </w:pPr>
      <w:r>
        <w:rPr>
          <w:rFonts w:hint="eastAsia" w:ascii="仿宋" w:hAnsi="仿宋" w:eastAsia="仿宋" w:cs="仿宋_GB2312"/>
          <w:sz w:val="28"/>
          <w:szCs w:val="28"/>
          <w:lang w:eastAsia="zh-CN"/>
        </w:rPr>
        <w:t>三是以计算机名师工作室、产教融合工作为依托，组织全市职业学校校长和计算机专业教师，开展了为期一天的全市职业学校计算机专业转型升级、提质培优、产教融合研讨会，邀请多名计算机专业方向的专家教授、企业代表进行授课，有力推动了我市职业学校计算机专业建设和“双师型”教师队伍建设工作。</w:t>
      </w:r>
    </w:p>
    <w:p>
      <w:pPr>
        <w:pStyle w:val="2"/>
        <w:ind w:left="0" w:leftChars="0" w:firstLine="0" w:firstLineChars="0"/>
        <w:jc w:val="center"/>
        <w:rPr>
          <w:rFonts w:eastAsia="仿宋"/>
          <w:lang w:eastAsia="zh-CN"/>
        </w:rPr>
      </w:pPr>
      <w:r>
        <w:drawing>
          <wp:inline distT="0" distB="0" distL="0" distR="0">
            <wp:extent cx="5274310" cy="2426335"/>
            <wp:effectExtent l="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2426335"/>
                    </a:xfrm>
                    <a:prstGeom prst="rect">
                      <a:avLst/>
                    </a:prstGeom>
                    <a:noFill/>
                    <a:ln>
                      <a:noFill/>
                    </a:ln>
                  </pic:spPr>
                </pic:pic>
              </a:graphicData>
            </a:graphic>
          </wp:inline>
        </w:drawing>
      </w:r>
    </w:p>
    <w:p>
      <w:pPr>
        <w:spacing w:after="120" w:line="360" w:lineRule="auto"/>
        <w:jc w:val="center"/>
        <w:rPr>
          <w:rFonts w:ascii="黑体" w:hAnsi="黑体" w:eastAsia="黑体"/>
          <w:b/>
          <w:bCs/>
          <w:lang w:eastAsia="zh-CN"/>
        </w:rPr>
      </w:pPr>
      <w:r>
        <w:rPr>
          <w:rFonts w:hint="eastAsia" w:ascii="黑体" w:hAnsi="黑体" w:eastAsia="黑体"/>
          <w:b/>
          <w:bCs/>
          <w:lang w:eastAsia="zh-CN"/>
        </w:rPr>
        <w:t>大同市教育与工作室共同组织计算机专业建设研讨会</w:t>
      </w:r>
    </w:p>
    <w:p>
      <w:pPr>
        <w:pStyle w:val="4"/>
        <w:spacing w:before="0" w:after="0" w:line="360" w:lineRule="auto"/>
        <w:ind w:firstLine="560"/>
        <w:jc w:val="both"/>
        <w:rPr>
          <w:rFonts w:ascii="仿宋" w:hAnsi="仿宋" w:eastAsia="仿宋" w:cs="仿宋_GB2312"/>
          <w:sz w:val="28"/>
          <w:szCs w:val="28"/>
        </w:rPr>
      </w:pPr>
      <w:bookmarkStart w:id="16" w:name="_Toc66798301"/>
      <w:r>
        <w:rPr>
          <w:rFonts w:hint="eastAsia" w:ascii="仿宋" w:hAnsi="仿宋" w:eastAsia="仿宋" w:cs="仿宋_GB2312"/>
          <w:sz w:val="28"/>
          <w:szCs w:val="28"/>
        </w:rPr>
        <w:t>3</w:t>
      </w:r>
      <w:r>
        <w:rPr>
          <w:rFonts w:hint="eastAsia" w:ascii="仿宋" w:hAnsi="仿宋" w:eastAsia="仿宋" w:cs="仿宋_GB2312"/>
          <w:sz w:val="28"/>
          <w:szCs w:val="28"/>
          <w:lang w:eastAsia="zh-CN"/>
        </w:rPr>
        <w:t>.</w:t>
      </w:r>
      <w:r>
        <w:rPr>
          <w:rFonts w:hint="eastAsia" w:ascii="仿宋" w:hAnsi="仿宋" w:eastAsia="仿宋" w:cs="仿宋_GB2312"/>
          <w:sz w:val="28"/>
          <w:szCs w:val="28"/>
        </w:rPr>
        <w:t>2</w:t>
      </w:r>
      <w:r>
        <w:rPr>
          <w:rFonts w:hint="eastAsia" w:ascii="仿宋" w:hAnsi="仿宋" w:eastAsia="仿宋" w:cs="仿宋_GB2312"/>
          <w:sz w:val="28"/>
          <w:szCs w:val="28"/>
          <w:lang w:eastAsia="zh-CN"/>
        </w:rPr>
        <w:t>.</w:t>
      </w:r>
      <w:r>
        <w:rPr>
          <w:rFonts w:hint="eastAsia" w:ascii="仿宋" w:hAnsi="仿宋" w:eastAsia="仿宋" w:cs="仿宋_GB2312"/>
          <w:sz w:val="28"/>
          <w:szCs w:val="28"/>
        </w:rPr>
        <w:t>2项目建设</w:t>
      </w:r>
      <w:bookmarkEnd w:id="16"/>
    </w:p>
    <w:p>
      <w:pPr>
        <w:spacing w:line="360" w:lineRule="auto"/>
        <w:ind w:firstLine="560"/>
        <w:jc w:val="both"/>
        <w:rPr>
          <w:rFonts w:ascii="仿宋" w:hAnsi="仿宋" w:eastAsia="仿宋" w:cs="仿宋_GB2312"/>
          <w:sz w:val="28"/>
          <w:szCs w:val="28"/>
          <w:lang w:eastAsia="zh-CN"/>
        </w:rPr>
      </w:pPr>
      <w:r>
        <w:rPr>
          <w:rFonts w:hint="eastAsia" w:ascii="仿宋" w:hAnsi="仿宋" w:eastAsia="仿宋" w:cs="仿宋_GB2312"/>
          <w:sz w:val="28"/>
          <w:szCs w:val="28"/>
          <w:lang w:eastAsia="zh-CN"/>
        </w:rPr>
        <w:t>为深化中等职业学校内涵建设，创新人才培养模式，促进特色发展，增强综合实力，全面提升中等职业学校人才培养质量和服务经济社会发展的能力，按照《山西省教育厅山西省人力资源和社会保障厅山西省财政厅关于开展省级中等职业教育改革发展示范校建设工作的通知》要求，我市卫生学校、第二高级职业中学校、阳高县职业技术学校、幼儿师范学校、第一高级职业中学校、市职业教育中心六所学校积极开展省级中等职业教育改革发展示范校建设工作，各学校以省级中等职业教育改革发展示范校为引领，持续推动学校教学改革，全面提升人才培养质量。同时组织我市职业学校申报职业教育高水平重点专业和高水平实训基地建设项目，市一职中、市二职中、云州区职中、新荣区职中等10所学校的旅游服务与管理、机电技术应用等13个重点专业、实训基地成功获批。该项目的获批和建设，将有效改善我市职业学校特别是薄弱县区职业学校的办学条件和教学质量，使人才培养质量获得较大的提升。各学校充分把握项目建设机遇，积极对接市场需求，不断强化专业建设，切实提升学校育人水平。</w:t>
      </w:r>
    </w:p>
    <w:p>
      <w:pPr>
        <w:pStyle w:val="4"/>
        <w:spacing w:before="0" w:after="0" w:line="360" w:lineRule="auto"/>
        <w:ind w:firstLine="560"/>
        <w:jc w:val="both"/>
        <w:rPr>
          <w:rFonts w:ascii="仿宋" w:hAnsi="仿宋" w:eastAsia="仿宋" w:cs="仿宋_GB2312"/>
          <w:sz w:val="28"/>
          <w:szCs w:val="28"/>
        </w:rPr>
      </w:pPr>
      <w:bookmarkStart w:id="17" w:name="_Toc66798302"/>
      <w:r>
        <w:rPr>
          <w:rFonts w:hint="eastAsia" w:ascii="仿宋" w:hAnsi="仿宋" w:eastAsia="仿宋" w:cs="仿宋_GB2312"/>
          <w:sz w:val="28"/>
          <w:szCs w:val="28"/>
        </w:rPr>
        <w:t>3</w:t>
      </w:r>
      <w:r>
        <w:rPr>
          <w:rFonts w:hint="eastAsia" w:ascii="仿宋" w:hAnsi="仿宋" w:eastAsia="仿宋" w:cs="仿宋_GB2312"/>
          <w:sz w:val="28"/>
          <w:szCs w:val="28"/>
          <w:lang w:eastAsia="zh-CN"/>
        </w:rPr>
        <w:t>.</w:t>
      </w:r>
      <w:r>
        <w:rPr>
          <w:rFonts w:hint="eastAsia" w:ascii="仿宋" w:hAnsi="仿宋" w:eastAsia="仿宋" w:cs="仿宋_GB2312"/>
          <w:sz w:val="28"/>
          <w:szCs w:val="28"/>
        </w:rPr>
        <w:t>2</w:t>
      </w:r>
      <w:r>
        <w:rPr>
          <w:rFonts w:hint="eastAsia" w:ascii="仿宋" w:hAnsi="仿宋" w:eastAsia="仿宋" w:cs="仿宋_GB2312"/>
          <w:sz w:val="28"/>
          <w:szCs w:val="28"/>
          <w:lang w:eastAsia="zh-CN"/>
        </w:rPr>
        <w:t>.</w:t>
      </w:r>
      <w:r>
        <w:rPr>
          <w:rFonts w:hint="eastAsia" w:ascii="仿宋" w:hAnsi="仿宋" w:eastAsia="仿宋" w:cs="仿宋_GB2312"/>
          <w:sz w:val="28"/>
          <w:szCs w:val="28"/>
        </w:rPr>
        <w:t>3技能竞赛</w:t>
      </w:r>
      <w:bookmarkEnd w:id="17"/>
    </w:p>
    <w:p>
      <w:pPr>
        <w:spacing w:line="360" w:lineRule="auto"/>
        <w:ind w:firstLine="560"/>
        <w:jc w:val="both"/>
        <w:rPr>
          <w:rFonts w:eastAsia="仿宋" w:cs="仿宋_GB2312" w:asciiTheme="minorHAnsi" w:hAnsiTheme="minorHAnsi"/>
          <w:sz w:val="28"/>
          <w:szCs w:val="28"/>
          <w:lang w:val="uk-UA"/>
        </w:rPr>
      </w:pPr>
      <w:r>
        <w:rPr>
          <w:rFonts w:hint="eastAsia" w:ascii="仿宋" w:hAnsi="仿宋" w:eastAsia="仿宋" w:cs="仿宋_GB2312"/>
          <w:sz w:val="28"/>
          <w:szCs w:val="28"/>
          <w:lang w:eastAsia="zh-CN"/>
        </w:rPr>
        <w:t>2020</w:t>
      </w:r>
      <w:r>
        <w:rPr>
          <w:rFonts w:hint="eastAsia" w:ascii="仿宋" w:hAnsi="仿宋" w:eastAsia="仿宋" w:cs="仿宋_GB2312"/>
          <w:sz w:val="28"/>
          <w:szCs w:val="28"/>
        </w:rPr>
        <w:t>年，</w:t>
      </w:r>
      <w:r>
        <w:rPr>
          <w:rFonts w:hint="eastAsia" w:ascii="仿宋" w:hAnsi="仿宋" w:eastAsia="仿宋" w:cs="仿宋_GB2312"/>
          <w:sz w:val="28"/>
          <w:szCs w:val="28"/>
          <w:lang w:eastAsia="zh-CN"/>
        </w:rPr>
        <w:t>由于疫情防控原因，我市未大规模举办全市职业院校技能大赛。指导、要求各学校自行组织校级技能大赛，积极参加参加全省十四届职业院校技能大赛，共计获得13个一等奖、22个二等奖、29个三等奖。同时，</w:t>
      </w:r>
      <w:r>
        <w:rPr>
          <w:rFonts w:hint="eastAsia" w:ascii="仿宋" w:hAnsi="仿宋" w:eastAsia="仿宋" w:cs="仿宋_GB2312"/>
          <w:sz w:val="28"/>
          <w:szCs w:val="28"/>
        </w:rPr>
        <w:t>我局广泛动员、积极组织各职业学校参与山西省第十</w:t>
      </w:r>
      <w:r>
        <w:rPr>
          <w:rFonts w:hint="eastAsia" w:ascii="仿宋" w:hAnsi="仿宋" w:eastAsia="仿宋" w:cs="仿宋_GB2312"/>
          <w:sz w:val="28"/>
          <w:szCs w:val="28"/>
          <w:lang w:eastAsia="zh-CN"/>
        </w:rPr>
        <w:t>二</w:t>
      </w:r>
      <w:r>
        <w:rPr>
          <w:rFonts w:hint="eastAsia" w:ascii="仿宋" w:hAnsi="仿宋" w:eastAsia="仿宋" w:cs="仿宋_GB2312"/>
          <w:sz w:val="28"/>
          <w:szCs w:val="28"/>
        </w:rPr>
        <w:t>届中等职业学校“文明风采”活动。经过严格评比，从全市300余件参赛作品中，遴选出包括书法、绘画、舞蹈、手工作品等在内的100件作品参加省级评选，经过激烈角逐，我市一职中</w:t>
      </w:r>
      <w:r>
        <w:rPr>
          <w:rFonts w:hint="eastAsia" w:ascii="仿宋" w:hAnsi="仿宋" w:eastAsia="仿宋" w:cs="仿宋_GB2312"/>
          <w:sz w:val="28"/>
          <w:szCs w:val="28"/>
          <w:lang w:eastAsia="zh-CN"/>
        </w:rPr>
        <w:t>、艺校</w:t>
      </w:r>
      <w:r>
        <w:rPr>
          <w:rFonts w:hint="eastAsia" w:ascii="仿宋" w:hAnsi="仿宋" w:eastAsia="仿宋" w:cs="仿宋_GB2312"/>
          <w:sz w:val="28"/>
          <w:szCs w:val="28"/>
        </w:rPr>
        <w:t>等学校成功斩获</w:t>
      </w:r>
      <w:r>
        <w:rPr>
          <w:rFonts w:hint="eastAsia" w:ascii="仿宋" w:hAnsi="仿宋" w:eastAsia="仿宋" w:cs="仿宋_GB2312"/>
          <w:sz w:val="28"/>
          <w:szCs w:val="28"/>
          <w:lang w:eastAsia="zh-CN"/>
        </w:rPr>
        <w:t>7个一等奖、7个二等奖、18个三等奖</w:t>
      </w:r>
      <w:r>
        <w:rPr>
          <w:rFonts w:hint="eastAsia" w:ascii="仿宋" w:hAnsi="仿宋" w:eastAsia="仿宋" w:cs="仿宋_GB2312"/>
          <w:sz w:val="28"/>
          <w:szCs w:val="28"/>
        </w:rPr>
        <w:t>，有力彰显了我市职业学校办学水平和学生文化素养。</w:t>
      </w:r>
    </w:p>
    <w:p>
      <w:pPr>
        <w:pStyle w:val="2"/>
        <w:ind w:left="0" w:leftChars="0" w:firstLine="0" w:firstLineChars="0"/>
        <w:jc w:val="center"/>
        <w:rPr>
          <w:rFonts w:eastAsia="仿宋"/>
          <w:lang w:val="uk-UA"/>
        </w:rPr>
      </w:pPr>
      <w:r>
        <w:rPr>
          <w:rFonts w:eastAsia="仿宋"/>
          <w:lang w:val="uk-UA"/>
        </w:rPr>
        <w:drawing>
          <wp:inline distT="0" distB="0" distL="0" distR="0">
            <wp:extent cx="3813175" cy="2850515"/>
            <wp:effectExtent l="0" t="0" r="0" b="698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4810" cy="2852151"/>
                    </a:xfrm>
                    <a:prstGeom prst="rect">
                      <a:avLst/>
                    </a:prstGeom>
                  </pic:spPr>
                </pic:pic>
              </a:graphicData>
            </a:graphic>
          </wp:inline>
        </w:drawing>
      </w:r>
    </w:p>
    <w:p>
      <w:pPr>
        <w:pStyle w:val="2"/>
        <w:ind w:left="0" w:leftChars="0" w:firstLine="0" w:firstLineChars="0"/>
        <w:jc w:val="center"/>
        <w:rPr>
          <w:rFonts w:eastAsia="仿宋"/>
          <w:lang w:val="uk-UA"/>
        </w:rPr>
      </w:pPr>
    </w:p>
    <w:p>
      <w:pPr>
        <w:pStyle w:val="2"/>
        <w:spacing w:line="360" w:lineRule="auto"/>
        <w:ind w:left="0" w:leftChars="0" w:firstLine="0" w:firstLineChars="0"/>
        <w:jc w:val="center"/>
        <w:rPr>
          <w:rFonts w:ascii="黑体" w:hAnsi="黑体" w:eastAsia="黑体"/>
          <w:sz w:val="21"/>
          <w:szCs w:val="21"/>
          <w:lang w:val="uk-UA"/>
        </w:rPr>
      </w:pPr>
      <w:r>
        <w:rPr>
          <w:rFonts w:hint="eastAsia" w:ascii="黑体" w:hAnsi="黑体" w:eastAsia="黑体"/>
          <w:sz w:val="21"/>
          <w:szCs w:val="21"/>
          <w:lang w:val="uk-UA" w:eastAsia="zh-CN"/>
        </w:rPr>
        <w:t>大同二职参赛作品获山西省教师教学能力大赛一等奖并取得国赛资格</w:t>
      </w:r>
    </w:p>
    <w:p>
      <w:pPr>
        <w:pStyle w:val="4"/>
        <w:spacing w:before="0" w:after="0" w:line="360" w:lineRule="auto"/>
        <w:ind w:firstLine="560"/>
        <w:jc w:val="both"/>
        <w:rPr>
          <w:rFonts w:ascii="仿宋" w:hAnsi="仿宋" w:eastAsia="仿宋" w:cs="楷体"/>
          <w:bCs w:val="0"/>
          <w:sz w:val="28"/>
          <w:szCs w:val="28"/>
        </w:rPr>
      </w:pPr>
      <w:bookmarkStart w:id="18" w:name="_Toc66798303"/>
      <w:r>
        <w:rPr>
          <w:rFonts w:hint="eastAsia" w:ascii="仿宋" w:hAnsi="仿宋" w:eastAsia="仿宋" w:cs="楷体"/>
          <w:bCs w:val="0"/>
          <w:sz w:val="28"/>
          <w:szCs w:val="28"/>
        </w:rPr>
        <w:t>3</w:t>
      </w:r>
      <w:r>
        <w:rPr>
          <w:rFonts w:hint="eastAsia" w:ascii="仿宋" w:hAnsi="仿宋" w:eastAsia="仿宋" w:cs="楷体"/>
          <w:bCs w:val="0"/>
          <w:sz w:val="28"/>
          <w:szCs w:val="28"/>
          <w:lang w:eastAsia="zh-CN"/>
        </w:rPr>
        <w:t>.</w:t>
      </w:r>
      <w:r>
        <w:rPr>
          <w:rFonts w:hint="eastAsia" w:ascii="仿宋" w:hAnsi="仿宋" w:eastAsia="仿宋" w:cs="楷体"/>
          <w:bCs w:val="0"/>
          <w:sz w:val="28"/>
          <w:szCs w:val="28"/>
        </w:rPr>
        <w:t>3落实教师编制，教师培养培训情况</w:t>
      </w:r>
      <w:bookmarkEnd w:id="18"/>
    </w:p>
    <w:p>
      <w:pPr>
        <w:spacing w:line="360" w:lineRule="auto"/>
        <w:ind w:firstLine="560"/>
        <w:jc w:val="both"/>
        <w:rPr>
          <w:rFonts w:ascii="仿宋" w:hAnsi="仿宋" w:eastAsia="仿宋" w:cs="仿宋_GB2312"/>
          <w:sz w:val="28"/>
          <w:szCs w:val="28"/>
          <w:lang w:val="uk-UA"/>
        </w:rPr>
      </w:pPr>
      <w:r>
        <w:rPr>
          <w:rFonts w:hint="eastAsia" w:ascii="仿宋" w:hAnsi="仿宋" w:eastAsia="仿宋" w:cs="仿宋_GB2312"/>
          <w:sz w:val="28"/>
          <w:szCs w:val="28"/>
        </w:rPr>
        <w:t>教师是影响教育质量的决定性因素，大同市教育局及各中等职业学校高度重视教师的培养培训。</w:t>
      </w:r>
      <w:r>
        <w:rPr>
          <w:rFonts w:hint="eastAsia" w:ascii="仿宋" w:hAnsi="仿宋" w:eastAsia="仿宋" w:cs="仿宋_GB2312"/>
          <w:sz w:val="28"/>
          <w:szCs w:val="28"/>
          <w:lang w:eastAsia="zh-CN"/>
        </w:rPr>
        <w:t>2020</w:t>
      </w:r>
      <w:r>
        <w:rPr>
          <w:rFonts w:hint="eastAsia" w:ascii="仿宋" w:hAnsi="仿宋" w:eastAsia="仿宋" w:cs="仿宋_GB2312"/>
          <w:sz w:val="28"/>
          <w:szCs w:val="28"/>
        </w:rPr>
        <w:t>年，</w:t>
      </w:r>
      <w:r>
        <w:rPr>
          <w:rFonts w:hint="eastAsia" w:ascii="仿宋" w:hAnsi="仿宋" w:eastAsia="仿宋" w:cs="仿宋_GB2312"/>
          <w:sz w:val="28"/>
          <w:szCs w:val="28"/>
          <w:lang w:eastAsia="zh-CN"/>
        </w:rPr>
        <w:t>按照疫情防控要求，未举办大规模线下培训，</w:t>
      </w:r>
      <w:r>
        <w:rPr>
          <w:rFonts w:hint="eastAsia" w:ascii="仿宋" w:hAnsi="仿宋" w:eastAsia="仿宋" w:cs="仿宋_GB2312"/>
          <w:sz w:val="28"/>
          <w:szCs w:val="28"/>
        </w:rPr>
        <w:t>大同市中职学校共计参加</w:t>
      </w:r>
      <w:r>
        <w:rPr>
          <w:rFonts w:hint="eastAsia" w:ascii="仿宋" w:hAnsi="仿宋" w:eastAsia="仿宋" w:cs="仿宋_GB2312"/>
          <w:sz w:val="28"/>
          <w:szCs w:val="28"/>
          <w:lang w:eastAsia="zh-CN"/>
        </w:rPr>
        <w:t>高水平中等职业学校申报培训、示范校建设培训、专业技能培训等各级各类线上</w:t>
      </w:r>
      <w:r>
        <w:rPr>
          <w:rFonts w:hint="eastAsia" w:ascii="仿宋" w:hAnsi="仿宋" w:eastAsia="仿宋" w:cs="仿宋_GB2312"/>
          <w:sz w:val="28"/>
          <w:szCs w:val="28"/>
        </w:rPr>
        <w:t>培训</w:t>
      </w:r>
      <w:r>
        <w:rPr>
          <w:rFonts w:hint="eastAsia" w:ascii="仿宋" w:hAnsi="仿宋" w:eastAsia="仿宋" w:cs="仿宋_GB2312"/>
          <w:sz w:val="28"/>
          <w:szCs w:val="28"/>
          <w:lang w:eastAsia="zh-CN"/>
        </w:rPr>
        <w:t>1500</w:t>
      </w:r>
      <w:r>
        <w:rPr>
          <w:rFonts w:hint="eastAsia" w:ascii="仿宋" w:hAnsi="仿宋" w:eastAsia="仿宋" w:cs="仿宋_GB2312"/>
          <w:sz w:val="28"/>
          <w:szCs w:val="28"/>
        </w:rPr>
        <w:t>余人次</w:t>
      </w:r>
      <w:r>
        <w:rPr>
          <w:rFonts w:hint="eastAsia" w:ascii="仿宋" w:hAnsi="仿宋" w:eastAsia="仿宋" w:cs="仿宋_GB2312"/>
          <w:sz w:val="28"/>
          <w:szCs w:val="28"/>
          <w:lang w:eastAsia="zh-CN"/>
        </w:rPr>
        <w:t>，</w:t>
      </w:r>
      <w:r>
        <w:rPr>
          <w:rFonts w:hint="eastAsia" w:ascii="仿宋" w:hAnsi="仿宋" w:eastAsia="仿宋" w:cs="仿宋_GB2312"/>
          <w:sz w:val="28"/>
          <w:szCs w:val="28"/>
        </w:rPr>
        <w:t>有效提高了中职学校管理人员和教师队伍的整体水平。</w:t>
      </w:r>
    </w:p>
    <w:p>
      <w:pPr>
        <w:pStyle w:val="4"/>
        <w:spacing w:before="0" w:after="0" w:line="360" w:lineRule="auto"/>
        <w:ind w:firstLine="560"/>
        <w:jc w:val="both"/>
        <w:rPr>
          <w:rFonts w:ascii="仿宋" w:hAnsi="仿宋" w:eastAsia="仿宋" w:cs="仿宋_GB2312"/>
          <w:b w:val="0"/>
          <w:bCs w:val="0"/>
          <w:kern w:val="0"/>
          <w:sz w:val="28"/>
          <w:szCs w:val="28"/>
        </w:rPr>
      </w:pPr>
      <w:bookmarkStart w:id="19" w:name="_Toc66798304"/>
      <w:r>
        <w:rPr>
          <w:rFonts w:hint="eastAsia" w:ascii="仿宋" w:hAnsi="仿宋" w:eastAsia="仿宋" w:cs="仿宋_GB2312"/>
          <w:b w:val="0"/>
          <w:bCs w:val="0"/>
          <w:kern w:val="0"/>
          <w:sz w:val="28"/>
          <w:szCs w:val="28"/>
        </w:rPr>
        <w:t>4</w:t>
      </w:r>
      <w:r>
        <w:rPr>
          <w:rFonts w:hint="eastAsia" w:ascii="仿宋" w:hAnsi="仿宋" w:eastAsia="仿宋" w:cs="仿宋_GB2312"/>
          <w:b w:val="0"/>
          <w:bCs w:val="0"/>
          <w:kern w:val="0"/>
          <w:sz w:val="28"/>
          <w:szCs w:val="28"/>
          <w:lang w:eastAsia="zh-CN"/>
        </w:rPr>
        <w:t>.</w:t>
      </w:r>
      <w:r>
        <w:rPr>
          <w:rFonts w:hint="eastAsia" w:ascii="仿宋" w:hAnsi="仿宋" w:eastAsia="仿宋" w:cs="仿宋_GB2312"/>
          <w:b w:val="0"/>
          <w:bCs w:val="0"/>
          <w:kern w:val="0"/>
          <w:sz w:val="28"/>
          <w:szCs w:val="28"/>
        </w:rPr>
        <w:t>校企合作</w:t>
      </w:r>
      <w:bookmarkEnd w:id="19"/>
    </w:p>
    <w:p>
      <w:pPr>
        <w:pStyle w:val="4"/>
        <w:spacing w:before="0" w:after="0" w:line="360" w:lineRule="auto"/>
        <w:ind w:firstLine="560"/>
        <w:jc w:val="both"/>
        <w:rPr>
          <w:rFonts w:ascii="仿宋" w:hAnsi="仿宋" w:eastAsia="仿宋" w:cs="仿宋_GB2312"/>
          <w:b w:val="0"/>
          <w:bCs w:val="0"/>
          <w:kern w:val="0"/>
          <w:sz w:val="28"/>
          <w:szCs w:val="28"/>
        </w:rPr>
      </w:pPr>
      <w:bookmarkStart w:id="20" w:name="_Toc66798305"/>
      <w:r>
        <w:rPr>
          <w:rFonts w:hint="eastAsia" w:ascii="仿宋" w:hAnsi="仿宋" w:eastAsia="仿宋" w:cs="仿宋_GB2312"/>
          <w:b w:val="0"/>
          <w:bCs w:val="0"/>
          <w:kern w:val="0"/>
          <w:sz w:val="28"/>
          <w:szCs w:val="28"/>
        </w:rPr>
        <w:t>4</w:t>
      </w:r>
      <w:r>
        <w:rPr>
          <w:rFonts w:hint="eastAsia" w:ascii="仿宋" w:hAnsi="仿宋" w:eastAsia="仿宋" w:cs="仿宋_GB2312"/>
          <w:b w:val="0"/>
          <w:bCs w:val="0"/>
          <w:kern w:val="0"/>
          <w:sz w:val="28"/>
          <w:szCs w:val="28"/>
          <w:lang w:eastAsia="zh-CN"/>
        </w:rPr>
        <w:t>.</w:t>
      </w:r>
      <w:r>
        <w:rPr>
          <w:rFonts w:hint="eastAsia" w:ascii="仿宋" w:hAnsi="仿宋" w:eastAsia="仿宋" w:cs="仿宋_GB2312"/>
          <w:b w:val="0"/>
          <w:bCs w:val="0"/>
          <w:kern w:val="0"/>
          <w:sz w:val="28"/>
          <w:szCs w:val="28"/>
        </w:rPr>
        <w:t>1校企合作开展情况和效果</w:t>
      </w:r>
      <w:bookmarkEnd w:id="20"/>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lang w:eastAsia="zh-CN"/>
        </w:rPr>
        <w:t>2020</w:t>
      </w:r>
      <w:r>
        <w:rPr>
          <w:rFonts w:hint="eastAsia" w:ascii="仿宋" w:hAnsi="仿宋" w:eastAsia="仿宋" w:cs="仿宋_GB2312"/>
          <w:sz w:val="28"/>
          <w:szCs w:val="28"/>
        </w:rPr>
        <w:t>年全市所有中等职业学校均与企业建立起较为密切的联系，</w:t>
      </w:r>
      <w:r>
        <w:rPr>
          <w:rFonts w:hint="eastAsia" w:ascii="仿宋" w:hAnsi="仿宋" w:eastAsia="仿宋" w:cs="仿宋_GB2312"/>
          <w:sz w:val="28"/>
          <w:szCs w:val="28"/>
          <w:lang w:eastAsia="zh-CN"/>
        </w:rPr>
        <w:t>15</w:t>
      </w:r>
      <w:r>
        <w:rPr>
          <w:rFonts w:hint="eastAsia" w:ascii="仿宋" w:hAnsi="仿宋" w:eastAsia="仿宋" w:cs="仿宋_GB2312"/>
          <w:sz w:val="28"/>
          <w:szCs w:val="28"/>
        </w:rPr>
        <w:t>家学校与1</w:t>
      </w:r>
      <w:r>
        <w:rPr>
          <w:rFonts w:hint="eastAsia" w:ascii="仿宋" w:hAnsi="仿宋" w:eastAsia="仿宋" w:cs="仿宋_GB2312"/>
          <w:sz w:val="28"/>
          <w:szCs w:val="28"/>
          <w:lang w:eastAsia="zh-CN"/>
        </w:rPr>
        <w:t>12</w:t>
      </w:r>
      <w:r>
        <w:rPr>
          <w:rFonts w:hint="eastAsia" w:ascii="仿宋" w:hAnsi="仿宋" w:eastAsia="仿宋" w:cs="仿宋_GB2312"/>
          <w:sz w:val="28"/>
          <w:szCs w:val="28"/>
        </w:rPr>
        <w:t>家企业进行了合作，与企业签订长期合作协议的企业数达到了</w:t>
      </w:r>
      <w:r>
        <w:rPr>
          <w:rFonts w:hint="eastAsia" w:ascii="仿宋" w:hAnsi="仿宋" w:eastAsia="仿宋" w:cs="仿宋_GB2312"/>
          <w:sz w:val="28"/>
          <w:szCs w:val="28"/>
          <w:lang w:eastAsia="zh-CN"/>
        </w:rPr>
        <w:t>66</w:t>
      </w:r>
      <w:r>
        <w:rPr>
          <w:rFonts w:hint="eastAsia" w:ascii="仿宋" w:hAnsi="仿宋" w:eastAsia="仿宋" w:cs="仿宋_GB2312"/>
          <w:sz w:val="28"/>
          <w:szCs w:val="28"/>
        </w:rPr>
        <w:t>家，其中大中型企业达到</w:t>
      </w:r>
      <w:r>
        <w:rPr>
          <w:rFonts w:hint="eastAsia" w:ascii="仿宋" w:hAnsi="仿宋" w:eastAsia="仿宋" w:cs="仿宋_GB2312"/>
          <w:sz w:val="28"/>
          <w:szCs w:val="28"/>
          <w:lang w:eastAsia="zh-CN"/>
        </w:rPr>
        <w:t>60</w:t>
      </w:r>
      <w:r>
        <w:rPr>
          <w:rFonts w:hint="eastAsia" w:ascii="仿宋" w:hAnsi="仿宋" w:eastAsia="仿宋" w:cs="仿宋_GB2312"/>
          <w:sz w:val="28"/>
          <w:szCs w:val="28"/>
        </w:rPr>
        <w:t>家。</w:t>
      </w:r>
    </w:p>
    <w:p>
      <w:pPr>
        <w:spacing w:line="360" w:lineRule="auto"/>
        <w:ind w:firstLine="560"/>
        <w:jc w:val="both"/>
        <w:rPr>
          <w:rFonts w:eastAsia="仿宋" w:cs="仿宋_GB2312" w:asciiTheme="minorHAnsi" w:hAnsiTheme="minorHAnsi"/>
          <w:b/>
          <w:bCs/>
          <w:sz w:val="28"/>
          <w:szCs w:val="28"/>
          <w:lang w:val="uk-UA"/>
        </w:rPr>
      </w:pPr>
      <w:r>
        <w:rPr>
          <w:rFonts w:hint="eastAsia" w:ascii="仿宋" w:hAnsi="仿宋" w:eastAsia="仿宋" w:cs="仿宋_GB2312"/>
          <w:b/>
          <w:bCs/>
          <w:sz w:val="28"/>
          <w:szCs w:val="28"/>
          <w:lang w:eastAsia="zh-CN"/>
        </w:rPr>
        <w:t>4.1.1</w:t>
      </w:r>
      <w:r>
        <w:rPr>
          <w:rFonts w:hint="eastAsia" w:ascii="仿宋" w:hAnsi="仿宋" w:eastAsia="仿宋" w:cs="仿宋_GB2312"/>
          <w:b/>
          <w:bCs/>
          <w:sz w:val="28"/>
          <w:szCs w:val="28"/>
        </w:rPr>
        <w:t>依托大同市职业教育产教融合工作室，面向我市产业调整和经济社会发展需求，探索校企合作长效机制。</w:t>
      </w:r>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2020年9月23日大同市产教融合工作室在大同市职业教育中心正式揭牌</w:t>
      </w:r>
      <w:r>
        <w:rPr>
          <w:rFonts w:hint="eastAsia" w:ascii="仿宋" w:hAnsi="仿宋" w:eastAsia="仿宋" w:cs="仿宋_GB2312"/>
          <w:sz w:val="28"/>
          <w:szCs w:val="28"/>
          <w:lang w:eastAsia="zh-CN"/>
        </w:rPr>
        <w:t>，</w:t>
      </w:r>
      <w:r>
        <w:rPr>
          <w:rFonts w:hint="eastAsia" w:ascii="仿宋" w:hAnsi="仿宋" w:eastAsia="仿宋" w:cs="仿宋_GB2312"/>
          <w:sz w:val="28"/>
          <w:szCs w:val="28"/>
        </w:rPr>
        <w:t>大同市教育局党组成员、副局长孙朝、大同市教育局职成科科长李承为工作室揭牌并为该工作室特邀的胡嘉牧老师、袁清博士、叶希杰博士三位专家颁发特聘证书。参加工作室启动仪式的还有大同市发改委社会科李娜、青年企业家协会秘书长李智华、悦凌空调总经理张思福、华兴科软教育研究院马聪以及大同职业教育产教融合工作室的领导及全体成员。</w:t>
      </w:r>
    </w:p>
    <w:p>
      <w:pPr>
        <w:pStyle w:val="2"/>
        <w:spacing w:line="360" w:lineRule="auto"/>
        <w:ind w:left="0" w:leftChars="0" w:firstLine="0" w:firstLineChars="0"/>
        <w:rPr>
          <w:rFonts w:ascii="仿宋" w:hAnsi="仿宋" w:eastAsia="仿宋"/>
          <w:lang w:eastAsia="zh-CN"/>
        </w:rPr>
      </w:pPr>
      <w:r>
        <w:rPr>
          <w:rFonts w:hint="eastAsia" w:ascii="仿宋" w:hAnsi="仿宋" w:eastAsia="仿宋"/>
          <w:lang w:eastAsia="zh-CN"/>
        </w:rPr>
        <w:drawing>
          <wp:inline distT="0" distB="0" distL="114300" distR="114300">
            <wp:extent cx="2601595" cy="1895475"/>
            <wp:effectExtent l="0" t="0" r="8255" b="9525"/>
            <wp:docPr id="32" name="图片 3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1"/>
                    <pic:cNvPicPr>
                      <a:picLocks noChangeAspect="1"/>
                    </pic:cNvPicPr>
                  </pic:nvPicPr>
                  <pic:blipFill>
                    <a:blip r:embed="rId26"/>
                    <a:stretch>
                      <a:fillRect/>
                    </a:stretch>
                  </pic:blipFill>
                  <pic:spPr>
                    <a:xfrm>
                      <a:off x="0" y="0"/>
                      <a:ext cx="2601595" cy="1895475"/>
                    </a:xfrm>
                    <a:prstGeom prst="rect">
                      <a:avLst/>
                    </a:prstGeom>
                  </pic:spPr>
                </pic:pic>
              </a:graphicData>
            </a:graphic>
          </wp:inline>
        </w:drawing>
      </w:r>
      <w:r>
        <w:rPr>
          <w:rFonts w:hint="eastAsia" w:ascii="仿宋" w:hAnsi="仿宋" w:eastAsia="仿宋"/>
          <w:lang w:eastAsia="zh-CN"/>
        </w:rPr>
        <w:drawing>
          <wp:inline distT="0" distB="0" distL="114300" distR="114300">
            <wp:extent cx="2591435" cy="1895475"/>
            <wp:effectExtent l="0" t="0" r="18415" b="9525"/>
            <wp:docPr id="39" name="图片 3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2"/>
                    <pic:cNvPicPr>
                      <a:picLocks noChangeAspect="1"/>
                    </pic:cNvPicPr>
                  </pic:nvPicPr>
                  <pic:blipFill>
                    <a:blip r:embed="rId27"/>
                    <a:stretch>
                      <a:fillRect/>
                    </a:stretch>
                  </pic:blipFill>
                  <pic:spPr>
                    <a:xfrm>
                      <a:off x="0" y="0"/>
                      <a:ext cx="2591435" cy="1895475"/>
                    </a:xfrm>
                    <a:prstGeom prst="rect">
                      <a:avLst/>
                    </a:prstGeom>
                  </pic:spPr>
                </pic:pic>
              </a:graphicData>
            </a:graphic>
          </wp:inline>
        </w:drawing>
      </w:r>
    </w:p>
    <w:p>
      <w:pPr>
        <w:pStyle w:val="2"/>
        <w:spacing w:line="360" w:lineRule="auto"/>
        <w:ind w:left="240" w:leftChars="0" w:hanging="240" w:hangingChars="100"/>
        <w:rPr>
          <w:rFonts w:ascii="仿宋" w:hAnsi="仿宋" w:eastAsia="仿宋"/>
          <w:lang w:eastAsia="zh-CN"/>
        </w:rPr>
      </w:pPr>
      <w:r>
        <w:rPr>
          <w:rFonts w:hint="eastAsia" w:ascii="仿宋" w:hAnsi="仿宋" w:eastAsia="仿宋"/>
          <w:lang w:eastAsia="zh-CN"/>
        </w:rPr>
        <w:drawing>
          <wp:inline distT="0" distB="0" distL="114300" distR="114300">
            <wp:extent cx="2613025" cy="2049145"/>
            <wp:effectExtent l="0" t="0" r="15875" b="8255"/>
            <wp:docPr id="38" name="图片 3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3"/>
                    <pic:cNvPicPr>
                      <a:picLocks noChangeAspect="1"/>
                    </pic:cNvPicPr>
                  </pic:nvPicPr>
                  <pic:blipFill>
                    <a:blip r:embed="rId28"/>
                    <a:stretch>
                      <a:fillRect/>
                    </a:stretch>
                  </pic:blipFill>
                  <pic:spPr>
                    <a:xfrm>
                      <a:off x="0" y="0"/>
                      <a:ext cx="2613025" cy="2049145"/>
                    </a:xfrm>
                    <a:prstGeom prst="rect">
                      <a:avLst/>
                    </a:prstGeom>
                  </pic:spPr>
                </pic:pic>
              </a:graphicData>
            </a:graphic>
          </wp:inline>
        </w:drawing>
      </w:r>
      <w:r>
        <w:rPr>
          <w:rFonts w:hint="eastAsia" w:ascii="仿宋" w:hAnsi="仿宋" w:eastAsia="仿宋"/>
          <w:lang w:eastAsia="zh-CN"/>
        </w:rPr>
        <w:drawing>
          <wp:inline distT="0" distB="0" distL="114300" distR="114300">
            <wp:extent cx="2564765" cy="2049145"/>
            <wp:effectExtent l="0" t="0" r="6985" b="8255"/>
            <wp:docPr id="45" name="图片 4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4"/>
                    <pic:cNvPicPr>
                      <a:picLocks noChangeAspect="1"/>
                    </pic:cNvPicPr>
                  </pic:nvPicPr>
                  <pic:blipFill>
                    <a:blip r:embed="rId29"/>
                    <a:stretch>
                      <a:fillRect/>
                    </a:stretch>
                  </pic:blipFill>
                  <pic:spPr>
                    <a:xfrm>
                      <a:off x="0" y="0"/>
                      <a:ext cx="2564765" cy="2049145"/>
                    </a:xfrm>
                    <a:prstGeom prst="rect">
                      <a:avLst/>
                    </a:prstGeom>
                  </pic:spPr>
                </pic:pic>
              </a:graphicData>
            </a:graphic>
          </wp:inline>
        </w:drawing>
      </w:r>
    </w:p>
    <w:p>
      <w:pPr>
        <w:pStyle w:val="2"/>
        <w:spacing w:line="360" w:lineRule="auto"/>
        <w:ind w:left="0" w:leftChars="0" w:firstLine="562"/>
        <w:rPr>
          <w:rFonts w:eastAsia="仿宋" w:cs="仿宋_GB2312" w:asciiTheme="minorHAnsi" w:hAnsiTheme="minorHAnsi"/>
          <w:sz w:val="28"/>
          <w:szCs w:val="28"/>
          <w:lang w:val="uk-UA"/>
        </w:rPr>
      </w:pPr>
      <w:r>
        <w:rPr>
          <w:rFonts w:hint="eastAsia" w:ascii="仿宋" w:hAnsi="仿宋" w:eastAsia="仿宋" w:cs="仿宋_GB2312"/>
          <w:b/>
          <w:bCs/>
          <w:sz w:val="28"/>
          <w:szCs w:val="28"/>
          <w:lang w:eastAsia="zh-CN"/>
        </w:rPr>
        <w:t>4.1.2大力推动现代学徒制试点工作，加强生产性实习实训。</w:t>
      </w:r>
      <w:r>
        <w:rPr>
          <w:rFonts w:hint="eastAsia" w:ascii="仿宋" w:hAnsi="仿宋" w:eastAsia="仿宋" w:cs="仿宋_GB2312"/>
          <w:sz w:val="28"/>
          <w:szCs w:val="28"/>
          <w:lang w:eastAsia="zh-CN"/>
        </w:rPr>
        <w:t>我市以推进产教融合、适应需求、提高质量为目标，以创新招生制度、管理制度和人才培养模式为突破口，以校企分工合作、协同育人、共同发展为着力点，着力推动现代学徒制试点工作，促进行业、企业参与职业教育人才培养全过程，实现专业设置与产业需求对接，课程内容与职业标准对接，教学过程与生产过程对接，毕业证书与职业资格证书对接，职业教育与终身学习对接，提高职业教育人才培养针对性和培养质量，为全市经济社会转型提供有力的技术和人才支撑。</w:t>
      </w:r>
      <w:r>
        <w:rPr>
          <w:rFonts w:hint="eastAsia" w:ascii="仿宋" w:hAnsi="仿宋" w:eastAsia="仿宋" w:cs="仿宋_GB2312"/>
          <w:sz w:val="28"/>
          <w:szCs w:val="28"/>
        </w:rPr>
        <w:t>市二职中机电专业作为首批省级现代学徒制试点专业、省级高水平重点专业和实训基地，对接市政府引进的重点项目山西上捷电梯公司，优化专业设置，重点提升电梯制造、安装、维修保养、电梯安全管理等领域的人才培养能力。在企业设立“双导师”工作站，把课程任务嵌入生产中，通过在校学习、轮岗培训、顶岗实习“三段式”和学生、学徒、准员工、员工“四位一体”的培养模式，为企业量身定制高素质的技能型专业人才。</w:t>
      </w:r>
    </w:p>
    <w:p>
      <w:pPr>
        <w:jc w:val="center"/>
        <w:rPr>
          <w:rFonts w:eastAsia="仿宋" w:cs="楷体"/>
          <w:b/>
          <w:bCs/>
          <w:sz w:val="28"/>
          <w:szCs w:val="28"/>
          <w:lang w:val="uk-UA"/>
        </w:rPr>
      </w:pPr>
      <w:r>
        <w:drawing>
          <wp:inline distT="0" distB="0" distL="0" distR="0">
            <wp:extent cx="3990975" cy="3990975"/>
            <wp:effectExtent l="0" t="0" r="9525" b="952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990975" cy="3990975"/>
                    </a:xfrm>
                    <a:prstGeom prst="rect">
                      <a:avLst/>
                    </a:prstGeom>
                    <a:noFill/>
                    <a:ln>
                      <a:noFill/>
                    </a:ln>
                  </pic:spPr>
                </pic:pic>
              </a:graphicData>
            </a:graphic>
          </wp:inline>
        </w:drawing>
      </w:r>
    </w:p>
    <w:p>
      <w:pPr>
        <w:pStyle w:val="2"/>
        <w:spacing w:line="360" w:lineRule="auto"/>
        <w:ind w:left="480" w:firstLine="482"/>
        <w:rPr>
          <w:rFonts w:ascii="黑体" w:hAnsi="黑体" w:eastAsia="黑体"/>
          <w:b/>
          <w:bCs/>
          <w:lang w:val="uk-UA"/>
        </w:rPr>
      </w:pPr>
      <w:r>
        <w:rPr>
          <w:rFonts w:hint="eastAsia" w:ascii="黑体" w:hAnsi="黑体" w:eastAsia="黑体"/>
          <w:b/>
          <w:bCs/>
          <w:lang w:val="uk-UA" w:eastAsia="zh-CN"/>
        </w:rPr>
        <w:t>大同职教中心汽修专业“现代学徒制”师傅交流教学经验</w:t>
      </w:r>
    </w:p>
    <w:p>
      <w:pPr>
        <w:pStyle w:val="4"/>
        <w:spacing w:before="0" w:after="0" w:line="360" w:lineRule="auto"/>
        <w:ind w:firstLine="560"/>
        <w:jc w:val="both"/>
        <w:rPr>
          <w:rFonts w:ascii="仿宋" w:hAnsi="仿宋" w:eastAsia="仿宋" w:cs="仿宋_GB2312"/>
          <w:b w:val="0"/>
          <w:bCs w:val="0"/>
          <w:kern w:val="0"/>
          <w:sz w:val="28"/>
          <w:szCs w:val="28"/>
        </w:rPr>
      </w:pPr>
      <w:bookmarkStart w:id="21" w:name="_Toc66798306"/>
      <w:r>
        <w:rPr>
          <w:rFonts w:hint="eastAsia" w:ascii="仿宋" w:hAnsi="仿宋" w:eastAsia="仿宋" w:cs="仿宋_GB2312"/>
          <w:b w:val="0"/>
          <w:bCs w:val="0"/>
          <w:kern w:val="0"/>
          <w:sz w:val="28"/>
          <w:szCs w:val="28"/>
        </w:rPr>
        <w:t>4</w:t>
      </w:r>
      <w:r>
        <w:rPr>
          <w:rFonts w:hint="eastAsia" w:ascii="仿宋" w:hAnsi="仿宋" w:eastAsia="仿宋" w:cs="仿宋_GB2312"/>
          <w:b w:val="0"/>
          <w:bCs w:val="0"/>
          <w:kern w:val="0"/>
          <w:sz w:val="28"/>
          <w:szCs w:val="28"/>
          <w:lang w:eastAsia="zh-CN"/>
        </w:rPr>
        <w:t>.</w:t>
      </w:r>
      <w:r>
        <w:rPr>
          <w:rFonts w:hint="eastAsia" w:ascii="仿宋" w:hAnsi="仿宋" w:eastAsia="仿宋" w:cs="仿宋_GB2312"/>
          <w:b w:val="0"/>
          <w:bCs w:val="0"/>
          <w:kern w:val="0"/>
          <w:sz w:val="28"/>
          <w:szCs w:val="28"/>
        </w:rPr>
        <w:t>2学生实习情况</w:t>
      </w:r>
      <w:bookmarkEnd w:id="21"/>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我市认真执行《教育部等五部门关于印发〈职业学校学生实习管理规定〉的通知》（教职成〔2016〕3号）的有关规定，明确校长为第一责任人，设立了专门的实习工作机构，配备专门管理人员，制定配套的实习工作管理制度，并按国家有关规定为实习学生投保实习责任保险，做到层级清楚、责任明确、措施有力，确保实习工作健康、安全和有序开展。</w:t>
      </w:r>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截止</w:t>
      </w:r>
      <w:r>
        <w:rPr>
          <w:rFonts w:hint="eastAsia" w:ascii="仿宋" w:hAnsi="仿宋" w:eastAsia="仿宋" w:cs="仿宋_GB2312"/>
          <w:sz w:val="28"/>
          <w:szCs w:val="28"/>
          <w:lang w:eastAsia="zh-CN"/>
        </w:rPr>
        <w:t>2020</w:t>
      </w:r>
      <w:r>
        <w:rPr>
          <w:rFonts w:hint="eastAsia" w:ascii="仿宋" w:hAnsi="仿宋" w:eastAsia="仿宋" w:cs="仿宋_GB2312"/>
          <w:sz w:val="28"/>
          <w:szCs w:val="28"/>
        </w:rPr>
        <w:t>年底，我市中等职业学校在外实习学生3556人，实习时间6个月以上学生约占顶岗实习学生数的14</w:t>
      </w:r>
      <w:r>
        <w:rPr>
          <w:rFonts w:hint="eastAsia" w:ascii="仿宋" w:hAnsi="仿宋" w:eastAsia="仿宋" w:cs="仿宋_GB2312"/>
          <w:sz w:val="28"/>
          <w:szCs w:val="28"/>
          <w:lang w:eastAsia="zh-CN"/>
        </w:rPr>
        <w:t>.</w:t>
      </w:r>
      <w:r>
        <w:rPr>
          <w:rFonts w:hint="eastAsia" w:ascii="仿宋" w:hAnsi="仿宋" w:eastAsia="仿宋" w:cs="仿宋_GB2312"/>
          <w:sz w:val="28"/>
          <w:szCs w:val="28"/>
        </w:rPr>
        <w:t>7%。学生在实习期间基本能够取得合理报酬，不存在学校向学生收取实习押金、顶岗实习报酬提成、管理费或者其他形式的实习费用，不存在扣押学生的居民身份证，不存在要求学生提供担保或者其他名义收取学生财务。</w:t>
      </w:r>
    </w:p>
    <w:p>
      <w:pPr>
        <w:pStyle w:val="4"/>
        <w:spacing w:before="0" w:after="0" w:line="360" w:lineRule="auto"/>
        <w:ind w:firstLine="560"/>
        <w:jc w:val="both"/>
        <w:rPr>
          <w:rFonts w:ascii="仿宋" w:hAnsi="仿宋" w:eastAsia="仿宋" w:cs="楷体"/>
          <w:bCs w:val="0"/>
          <w:sz w:val="28"/>
          <w:szCs w:val="28"/>
        </w:rPr>
      </w:pPr>
      <w:bookmarkStart w:id="22" w:name="_Toc66798307"/>
      <w:r>
        <w:rPr>
          <w:rFonts w:hint="eastAsia" w:ascii="仿宋" w:hAnsi="仿宋" w:eastAsia="仿宋" w:cs="楷体"/>
          <w:bCs w:val="0"/>
          <w:sz w:val="28"/>
          <w:szCs w:val="28"/>
        </w:rPr>
        <w:t>4</w:t>
      </w:r>
      <w:r>
        <w:rPr>
          <w:rFonts w:hint="eastAsia" w:ascii="仿宋" w:hAnsi="仿宋" w:eastAsia="仿宋" w:cs="楷体"/>
          <w:bCs w:val="0"/>
          <w:sz w:val="28"/>
          <w:szCs w:val="28"/>
          <w:lang w:eastAsia="zh-CN"/>
        </w:rPr>
        <w:t>.</w:t>
      </w:r>
      <w:r>
        <w:rPr>
          <w:rFonts w:hint="eastAsia" w:ascii="仿宋" w:hAnsi="仿宋" w:eastAsia="仿宋" w:cs="楷体"/>
          <w:bCs w:val="0"/>
          <w:sz w:val="28"/>
          <w:szCs w:val="28"/>
        </w:rPr>
        <w:t>3集团化办学情况</w:t>
      </w:r>
      <w:bookmarkEnd w:id="22"/>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为进一步推动我市职业教育发展，我市一方面积极与山西省装备制造职教集团取得联系，学习组建职教集团的经验做法。另一方面，以大同卫校示范学校项目建设为契机，立足区域经济发展需要，积极联系相关企业，以服务发展为宗旨，以促进就业为导向，坚持服务地方康养产业，以“国际视野、课程融通、校企一体”为建设目标，着力推动医药康养集团的组建，面向广大城乡社区，培养具有基本专业知识和娴熟操作技能的初中级老年护理服务人才。</w:t>
      </w:r>
    </w:p>
    <w:p>
      <w:pPr>
        <w:pStyle w:val="4"/>
        <w:spacing w:before="0" w:after="0" w:line="360" w:lineRule="auto"/>
        <w:ind w:firstLine="560"/>
        <w:jc w:val="both"/>
        <w:rPr>
          <w:rFonts w:ascii="仿宋" w:hAnsi="仿宋" w:eastAsia="仿宋" w:cs="仿宋_GB2312"/>
          <w:b w:val="0"/>
          <w:bCs w:val="0"/>
          <w:kern w:val="0"/>
          <w:sz w:val="28"/>
          <w:szCs w:val="28"/>
        </w:rPr>
      </w:pPr>
      <w:bookmarkStart w:id="23" w:name="_Toc66798308"/>
      <w:r>
        <w:rPr>
          <w:rFonts w:hint="eastAsia" w:ascii="仿宋" w:hAnsi="仿宋" w:eastAsia="仿宋" w:cs="仿宋_GB2312"/>
          <w:b w:val="0"/>
          <w:bCs w:val="0"/>
          <w:kern w:val="0"/>
          <w:sz w:val="28"/>
          <w:szCs w:val="28"/>
        </w:rPr>
        <w:t>5</w:t>
      </w:r>
      <w:r>
        <w:rPr>
          <w:rFonts w:hint="eastAsia" w:ascii="仿宋" w:hAnsi="仿宋" w:eastAsia="仿宋" w:cs="仿宋_GB2312"/>
          <w:b w:val="0"/>
          <w:bCs w:val="0"/>
          <w:kern w:val="0"/>
          <w:sz w:val="28"/>
          <w:szCs w:val="28"/>
          <w:lang w:eastAsia="zh-CN"/>
        </w:rPr>
        <w:t>.</w:t>
      </w:r>
      <w:r>
        <w:rPr>
          <w:rFonts w:hint="eastAsia" w:ascii="仿宋" w:hAnsi="仿宋" w:eastAsia="仿宋" w:cs="仿宋_GB2312"/>
          <w:b w:val="0"/>
          <w:bCs w:val="0"/>
          <w:kern w:val="0"/>
          <w:sz w:val="28"/>
          <w:szCs w:val="28"/>
        </w:rPr>
        <w:t>社会贡献</w:t>
      </w:r>
      <w:bookmarkEnd w:id="23"/>
    </w:p>
    <w:p>
      <w:pPr>
        <w:pStyle w:val="4"/>
        <w:spacing w:before="0" w:after="0" w:line="360" w:lineRule="auto"/>
        <w:ind w:firstLine="560"/>
        <w:jc w:val="both"/>
        <w:rPr>
          <w:rFonts w:ascii="仿宋" w:hAnsi="仿宋" w:eastAsia="仿宋" w:cs="仿宋_GB2312"/>
          <w:b w:val="0"/>
          <w:bCs w:val="0"/>
          <w:kern w:val="0"/>
          <w:sz w:val="28"/>
          <w:szCs w:val="28"/>
        </w:rPr>
      </w:pPr>
      <w:bookmarkStart w:id="24" w:name="_Toc66798309"/>
      <w:r>
        <w:rPr>
          <w:rFonts w:hint="eastAsia" w:ascii="仿宋" w:hAnsi="仿宋" w:eastAsia="仿宋" w:cs="仿宋_GB2312"/>
          <w:b w:val="0"/>
          <w:bCs w:val="0"/>
          <w:kern w:val="0"/>
          <w:sz w:val="28"/>
          <w:szCs w:val="28"/>
        </w:rPr>
        <w:t>5</w:t>
      </w:r>
      <w:r>
        <w:rPr>
          <w:rFonts w:hint="eastAsia" w:ascii="仿宋" w:hAnsi="仿宋" w:eastAsia="仿宋" w:cs="仿宋_GB2312"/>
          <w:b w:val="0"/>
          <w:bCs w:val="0"/>
          <w:kern w:val="0"/>
          <w:sz w:val="28"/>
          <w:szCs w:val="28"/>
          <w:lang w:eastAsia="zh-CN"/>
        </w:rPr>
        <w:t>.</w:t>
      </w:r>
      <w:r>
        <w:rPr>
          <w:rFonts w:hint="eastAsia" w:ascii="仿宋" w:hAnsi="仿宋" w:eastAsia="仿宋" w:cs="仿宋_GB2312"/>
          <w:b w:val="0"/>
          <w:bCs w:val="0"/>
          <w:kern w:val="0"/>
          <w:sz w:val="28"/>
          <w:szCs w:val="28"/>
        </w:rPr>
        <w:t>1技术技能人才培养</w:t>
      </w:r>
      <w:bookmarkEnd w:id="24"/>
    </w:p>
    <w:p>
      <w:pPr>
        <w:spacing w:line="360" w:lineRule="auto"/>
        <w:ind w:firstLine="560"/>
        <w:jc w:val="both"/>
        <w:rPr>
          <w:rFonts w:ascii="仿宋" w:hAnsi="仿宋" w:eastAsia="仿宋" w:cs="仿宋_GB2312"/>
          <w:sz w:val="28"/>
          <w:szCs w:val="28"/>
          <w:lang w:val="uk-UA"/>
        </w:rPr>
      </w:pPr>
      <w:r>
        <w:rPr>
          <w:rFonts w:hint="eastAsia" w:ascii="仿宋" w:hAnsi="仿宋" w:eastAsia="仿宋" w:cs="仿宋_GB2312"/>
          <w:sz w:val="28"/>
          <w:szCs w:val="28"/>
        </w:rPr>
        <w:t>大同市中等职业学校毕业生逐渐成为全市各类、各层次企业技术技能人才的重要来源。</w:t>
      </w:r>
      <w:r>
        <w:rPr>
          <w:rFonts w:hint="eastAsia" w:ascii="仿宋" w:hAnsi="仿宋" w:eastAsia="仿宋" w:cs="仿宋_GB2312"/>
          <w:sz w:val="28"/>
          <w:szCs w:val="28"/>
          <w:lang w:eastAsia="zh-CN"/>
        </w:rPr>
        <w:t>2020</w:t>
      </w:r>
      <w:r>
        <w:rPr>
          <w:rFonts w:hint="eastAsia" w:ascii="仿宋" w:hAnsi="仿宋" w:eastAsia="仿宋" w:cs="仿宋_GB2312"/>
          <w:sz w:val="28"/>
          <w:szCs w:val="28"/>
        </w:rPr>
        <w:t>年，全市中等职业教育（不含技工院校）毕业生总量</w:t>
      </w:r>
      <w:r>
        <w:rPr>
          <w:rFonts w:hint="eastAsia" w:ascii="仿宋" w:hAnsi="仿宋" w:eastAsia="仿宋" w:cs="仿宋_GB2312"/>
          <w:sz w:val="28"/>
          <w:szCs w:val="28"/>
          <w:lang w:eastAsia="zh-CN"/>
        </w:rPr>
        <w:t>5758</w:t>
      </w:r>
      <w:r>
        <w:rPr>
          <w:rFonts w:hint="eastAsia" w:ascii="仿宋" w:hAnsi="仿宋" w:eastAsia="仿宋" w:cs="仿宋_GB2312"/>
          <w:sz w:val="28"/>
          <w:szCs w:val="28"/>
        </w:rPr>
        <w:t>人，</w:t>
      </w:r>
      <w:r>
        <w:rPr>
          <w:rFonts w:hint="eastAsia" w:ascii="仿宋" w:hAnsi="仿宋" w:eastAsia="仿宋" w:cs="仿宋_GB2312"/>
          <w:sz w:val="28"/>
          <w:szCs w:val="28"/>
          <w:lang w:eastAsia="zh-CN"/>
        </w:rPr>
        <w:t>其中直接就业人数为1365人，占总毕业人数的23.70%；</w:t>
      </w:r>
      <w:r>
        <w:rPr>
          <w:rFonts w:hint="eastAsia" w:ascii="仿宋" w:hAnsi="仿宋" w:eastAsia="仿宋" w:cs="仿宋_GB2312"/>
          <w:sz w:val="28"/>
          <w:szCs w:val="28"/>
        </w:rPr>
        <w:t>在本地就业人数为</w:t>
      </w:r>
      <w:r>
        <w:rPr>
          <w:rFonts w:hint="eastAsia" w:ascii="仿宋" w:hAnsi="仿宋" w:eastAsia="仿宋" w:cs="仿宋_GB2312"/>
          <w:sz w:val="28"/>
          <w:szCs w:val="28"/>
          <w:lang w:eastAsia="zh-CN"/>
        </w:rPr>
        <w:t>891</w:t>
      </w:r>
      <w:r>
        <w:rPr>
          <w:rFonts w:hint="eastAsia" w:ascii="仿宋" w:hAnsi="仿宋" w:eastAsia="仿宋" w:cs="仿宋_GB2312"/>
          <w:sz w:val="28"/>
          <w:szCs w:val="28"/>
        </w:rPr>
        <w:t>人，占</w:t>
      </w:r>
      <w:r>
        <w:rPr>
          <w:rFonts w:hint="eastAsia" w:ascii="仿宋" w:hAnsi="仿宋" w:eastAsia="仿宋" w:cs="仿宋_GB2312"/>
          <w:sz w:val="28"/>
          <w:szCs w:val="28"/>
          <w:lang w:eastAsia="zh-CN"/>
        </w:rPr>
        <w:t>65.27</w:t>
      </w:r>
      <w:r>
        <w:rPr>
          <w:rFonts w:hint="eastAsia" w:ascii="仿宋" w:hAnsi="仿宋" w:eastAsia="仿宋" w:cs="仿宋_GB2312"/>
          <w:sz w:val="28"/>
          <w:szCs w:val="28"/>
        </w:rPr>
        <w:t>%。学生就业去向主要集中在加工制造、交通运输、信息技术、医药卫生、财经商贸、旅游服务、文化艺术、教育类和体育健身类等专业。其中，旅游服务类和文化艺术等第三产业就业去向占比高</w:t>
      </w:r>
      <w:r>
        <w:rPr>
          <w:rFonts w:hint="eastAsia" w:ascii="仿宋" w:hAnsi="仿宋" w:eastAsia="仿宋" w:cs="仿宋_GB2312"/>
          <w:sz w:val="28"/>
          <w:szCs w:val="28"/>
          <w:lang w:eastAsia="zh-CN"/>
        </w:rPr>
        <w:t>，</w:t>
      </w:r>
      <w:r>
        <w:rPr>
          <w:rFonts w:hint="eastAsia" w:ascii="仿宋" w:hAnsi="仿宋" w:eastAsia="仿宋" w:cs="仿宋_GB2312"/>
          <w:sz w:val="28"/>
          <w:szCs w:val="28"/>
        </w:rPr>
        <w:t>与我市产业结构基本吻合。</w:t>
      </w:r>
    </w:p>
    <w:p>
      <w:pPr>
        <w:spacing w:line="360" w:lineRule="auto"/>
        <w:jc w:val="center"/>
        <w:rPr>
          <w:rFonts w:ascii="仿宋" w:hAnsi="仿宋" w:eastAsia="仿宋" w:cs="仿宋_GB2312"/>
          <w:b/>
          <w:bCs/>
        </w:rPr>
      </w:pPr>
      <w:r>
        <w:rPr>
          <w:rFonts w:hint="eastAsia" w:ascii="仿宋" w:hAnsi="仿宋" w:eastAsia="仿宋" w:cs="仿宋_GB2312"/>
          <w:b/>
          <w:bCs/>
        </w:rPr>
        <w:t>表</w:t>
      </w:r>
      <w:r>
        <w:rPr>
          <w:rFonts w:hint="eastAsia" w:ascii="仿宋" w:hAnsi="仿宋" w:eastAsia="仿宋" w:cs="仿宋_GB2312"/>
          <w:b/>
          <w:bCs/>
          <w:lang w:eastAsia="zh-CN"/>
        </w:rPr>
        <w:t>六</w:t>
      </w:r>
      <w:r>
        <w:rPr>
          <w:rFonts w:hint="eastAsia" w:ascii="仿宋" w:hAnsi="仿宋" w:eastAsia="仿宋" w:cs="仿宋_GB2312"/>
          <w:b/>
          <w:bCs/>
        </w:rPr>
        <w:t>：201</w:t>
      </w:r>
      <w:r>
        <w:rPr>
          <w:rFonts w:hint="eastAsia" w:ascii="仿宋" w:hAnsi="仿宋" w:eastAsia="仿宋" w:cs="仿宋_GB2312"/>
          <w:b/>
          <w:bCs/>
          <w:lang w:eastAsia="zh-CN"/>
        </w:rPr>
        <w:t>9</w:t>
      </w:r>
      <w:r>
        <w:rPr>
          <w:rFonts w:hint="eastAsia" w:ascii="仿宋" w:hAnsi="仿宋" w:eastAsia="仿宋" w:cs="仿宋_GB2312"/>
          <w:b/>
          <w:bCs/>
        </w:rPr>
        <w:t>年与</w:t>
      </w:r>
      <w:r>
        <w:rPr>
          <w:rFonts w:hint="eastAsia" w:ascii="仿宋" w:hAnsi="仿宋" w:eastAsia="仿宋" w:cs="仿宋_GB2312"/>
          <w:b/>
          <w:bCs/>
          <w:lang w:eastAsia="zh-CN"/>
        </w:rPr>
        <w:t>2020</w:t>
      </w:r>
      <w:r>
        <w:rPr>
          <w:rFonts w:hint="eastAsia" w:ascii="仿宋" w:hAnsi="仿宋" w:eastAsia="仿宋" w:cs="仿宋_GB2312"/>
          <w:b/>
          <w:bCs/>
        </w:rPr>
        <w:t>年</w:t>
      </w:r>
      <w:r>
        <w:rPr>
          <w:rFonts w:hint="eastAsia" w:ascii="仿宋" w:hAnsi="仿宋" w:eastAsia="仿宋" w:cs="仿宋_GB2312"/>
          <w:b/>
          <w:bCs/>
          <w:lang w:eastAsia="zh-CN"/>
        </w:rPr>
        <w:t>毕业生</w:t>
      </w:r>
      <w:r>
        <w:rPr>
          <w:rFonts w:hint="eastAsia" w:ascii="仿宋" w:hAnsi="仿宋" w:eastAsia="仿宋" w:cs="仿宋_GB2312"/>
          <w:b/>
          <w:bCs/>
        </w:rPr>
        <w:t>总量与就业分析表</w:t>
      </w:r>
    </w:p>
    <w:tbl>
      <w:tblPr>
        <w:tblStyle w:val="13"/>
        <w:tblW w:w="8532" w:type="dxa"/>
        <w:jc w:val="center"/>
        <w:tblLayout w:type="autofit"/>
        <w:tblCellMar>
          <w:top w:w="0" w:type="dxa"/>
          <w:left w:w="108" w:type="dxa"/>
          <w:bottom w:w="0" w:type="dxa"/>
          <w:right w:w="108" w:type="dxa"/>
        </w:tblCellMar>
      </w:tblPr>
      <w:tblGrid>
        <w:gridCol w:w="1422"/>
        <w:gridCol w:w="1422"/>
        <w:gridCol w:w="1237"/>
        <w:gridCol w:w="1607"/>
        <w:gridCol w:w="1254"/>
        <w:gridCol w:w="1590"/>
      </w:tblGrid>
      <w:tr>
        <w:tblPrEx>
          <w:tblCellMar>
            <w:top w:w="0" w:type="dxa"/>
            <w:left w:w="108" w:type="dxa"/>
            <w:bottom w:w="0" w:type="dxa"/>
            <w:right w:w="108" w:type="dxa"/>
          </w:tblCellMar>
        </w:tblPrEx>
        <w:trPr>
          <w:trHeight w:val="378" w:hRule="atLeast"/>
          <w:jc w:val="center"/>
        </w:trPr>
        <w:tc>
          <w:tcPr>
            <w:tcW w:w="1422" w:type="dxa"/>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ind w:firstLine="663" w:firstLineChars="300"/>
              <w:rPr>
                <w:rFonts w:ascii="仿宋" w:hAnsi="仿宋" w:eastAsia="仿宋" w:cs="宋体"/>
                <w:b/>
                <w:sz w:val="22"/>
                <w:szCs w:val="22"/>
                <w:lang w:eastAsia="zh-CN"/>
              </w:rPr>
            </w:pPr>
            <w:r>
              <w:rPr>
                <w:rFonts w:hint="eastAsia" w:ascii="仿宋" w:hAnsi="仿宋" w:eastAsia="仿宋" w:cs="宋体"/>
                <w:b/>
                <w:sz w:val="22"/>
                <w:szCs w:val="22"/>
                <w:lang w:eastAsia="zh-CN"/>
              </w:rPr>
              <w:t>项目</w:t>
            </w:r>
            <w:r>
              <w:rPr>
                <w:rFonts w:hint="eastAsia" w:ascii="仿宋" w:hAnsi="仿宋" w:eastAsia="仿宋" w:cs="宋体"/>
                <w:b/>
                <w:sz w:val="22"/>
                <w:szCs w:val="22"/>
                <w:lang w:eastAsia="zh-CN"/>
              </w:rPr>
              <w:br w:type="textWrapping"/>
            </w:r>
            <w:r>
              <w:rPr>
                <w:rFonts w:hint="eastAsia" w:ascii="仿宋" w:hAnsi="仿宋" w:eastAsia="仿宋" w:cs="宋体"/>
                <w:b/>
                <w:sz w:val="22"/>
                <w:szCs w:val="22"/>
                <w:lang w:eastAsia="zh-CN"/>
              </w:rPr>
              <w:t>年份</w:t>
            </w:r>
          </w:p>
        </w:tc>
        <w:tc>
          <w:tcPr>
            <w:tcW w:w="142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仿宋" w:hAnsi="仿宋" w:eastAsia="仿宋" w:cs="宋体"/>
                <w:b/>
                <w:sz w:val="22"/>
                <w:szCs w:val="22"/>
                <w:lang w:eastAsia="zh-CN"/>
              </w:rPr>
            </w:pPr>
            <w:r>
              <w:rPr>
                <w:rFonts w:hint="eastAsia" w:ascii="仿宋" w:hAnsi="仿宋" w:eastAsia="仿宋" w:cs="宋体"/>
                <w:b/>
                <w:sz w:val="22"/>
                <w:szCs w:val="22"/>
                <w:lang w:eastAsia="zh-CN"/>
              </w:rPr>
              <w:t>毕业生总量</w:t>
            </w:r>
          </w:p>
        </w:tc>
        <w:tc>
          <w:tcPr>
            <w:tcW w:w="123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仿宋" w:hAnsi="仿宋" w:eastAsia="仿宋" w:cs="宋体"/>
                <w:b/>
                <w:sz w:val="22"/>
                <w:szCs w:val="22"/>
                <w:lang w:eastAsia="zh-CN"/>
              </w:rPr>
            </w:pPr>
            <w:r>
              <w:rPr>
                <w:rFonts w:hint="eastAsia" w:ascii="仿宋" w:hAnsi="仿宋" w:eastAsia="仿宋" w:cs="宋体"/>
                <w:b/>
                <w:sz w:val="22"/>
                <w:szCs w:val="22"/>
                <w:lang w:eastAsia="zh-CN"/>
              </w:rPr>
              <w:t>直接就业</w:t>
            </w:r>
          </w:p>
        </w:tc>
        <w:tc>
          <w:tcPr>
            <w:tcW w:w="160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仿宋" w:hAnsi="仿宋" w:eastAsia="仿宋" w:cs="宋体"/>
                <w:b/>
                <w:sz w:val="22"/>
                <w:szCs w:val="22"/>
                <w:lang w:eastAsia="zh-CN"/>
              </w:rPr>
            </w:pPr>
            <w:r>
              <w:rPr>
                <w:rFonts w:hint="eastAsia" w:ascii="仿宋" w:hAnsi="仿宋" w:eastAsia="仿宋" w:cs="宋体"/>
                <w:b/>
                <w:sz w:val="22"/>
                <w:szCs w:val="22"/>
                <w:lang w:eastAsia="zh-CN"/>
              </w:rPr>
              <w:t>就业占比总量</w:t>
            </w:r>
          </w:p>
        </w:tc>
        <w:tc>
          <w:tcPr>
            <w:tcW w:w="125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仿宋" w:hAnsi="仿宋" w:eastAsia="仿宋" w:cs="宋体"/>
                <w:b/>
                <w:sz w:val="22"/>
                <w:szCs w:val="22"/>
                <w:lang w:eastAsia="zh-CN"/>
              </w:rPr>
            </w:pPr>
            <w:r>
              <w:rPr>
                <w:rFonts w:hint="eastAsia" w:ascii="仿宋" w:hAnsi="仿宋" w:eastAsia="仿宋" w:cs="宋体"/>
                <w:b/>
                <w:sz w:val="22"/>
                <w:szCs w:val="22"/>
                <w:lang w:eastAsia="zh-CN"/>
              </w:rPr>
              <w:t>本地就业</w:t>
            </w:r>
          </w:p>
        </w:tc>
        <w:tc>
          <w:tcPr>
            <w:tcW w:w="159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仿宋" w:hAnsi="仿宋" w:eastAsia="仿宋" w:cs="宋体"/>
                <w:b/>
                <w:sz w:val="22"/>
                <w:szCs w:val="22"/>
                <w:lang w:eastAsia="zh-CN"/>
              </w:rPr>
            </w:pPr>
            <w:r>
              <w:rPr>
                <w:rFonts w:hint="eastAsia" w:ascii="仿宋" w:hAnsi="仿宋" w:eastAsia="仿宋" w:cs="宋体"/>
                <w:b/>
                <w:sz w:val="22"/>
                <w:szCs w:val="22"/>
                <w:lang w:eastAsia="zh-CN"/>
              </w:rPr>
              <w:t>本地就业占比</w:t>
            </w:r>
          </w:p>
        </w:tc>
      </w:tr>
      <w:tr>
        <w:tblPrEx>
          <w:tblCellMar>
            <w:top w:w="0" w:type="dxa"/>
            <w:left w:w="108" w:type="dxa"/>
            <w:bottom w:w="0" w:type="dxa"/>
            <w:right w:w="108" w:type="dxa"/>
          </w:tblCellMar>
        </w:tblPrEx>
        <w:trPr>
          <w:trHeight w:val="586" w:hRule="atLeast"/>
          <w:jc w:val="center"/>
        </w:trPr>
        <w:tc>
          <w:tcPr>
            <w:tcW w:w="14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cs="宋体"/>
                <w:sz w:val="22"/>
                <w:szCs w:val="22"/>
                <w:lang w:eastAsia="zh-CN"/>
              </w:rPr>
            </w:pPr>
            <w:r>
              <w:rPr>
                <w:rFonts w:hint="eastAsia" w:ascii="仿宋" w:hAnsi="仿宋" w:eastAsia="仿宋" w:cs="宋体"/>
                <w:sz w:val="22"/>
                <w:szCs w:val="22"/>
                <w:lang w:eastAsia="zh-CN"/>
              </w:rPr>
              <w:t>2019年</w:t>
            </w:r>
          </w:p>
        </w:tc>
        <w:tc>
          <w:tcPr>
            <w:tcW w:w="14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cs="宋体"/>
                <w:sz w:val="22"/>
                <w:szCs w:val="22"/>
                <w:lang w:eastAsia="zh-CN"/>
              </w:rPr>
            </w:pPr>
            <w:r>
              <w:rPr>
                <w:rFonts w:hint="eastAsia" w:ascii="仿宋" w:hAnsi="仿宋" w:eastAsia="仿宋" w:cs="宋体"/>
                <w:sz w:val="22"/>
                <w:szCs w:val="22"/>
                <w:lang w:eastAsia="zh-CN"/>
              </w:rPr>
              <w:t>6091人</w:t>
            </w:r>
          </w:p>
        </w:tc>
        <w:tc>
          <w:tcPr>
            <w:tcW w:w="123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cs="宋体"/>
                <w:sz w:val="22"/>
                <w:szCs w:val="22"/>
                <w:lang w:eastAsia="zh-CN"/>
              </w:rPr>
            </w:pPr>
            <w:r>
              <w:rPr>
                <w:rFonts w:hint="eastAsia" w:ascii="仿宋" w:hAnsi="仿宋" w:eastAsia="仿宋" w:cs="宋体"/>
                <w:sz w:val="22"/>
                <w:szCs w:val="22"/>
                <w:lang w:eastAsia="zh-CN"/>
              </w:rPr>
              <w:t>1531人</w:t>
            </w:r>
          </w:p>
        </w:tc>
        <w:tc>
          <w:tcPr>
            <w:tcW w:w="160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cs="宋体"/>
                <w:sz w:val="22"/>
                <w:szCs w:val="22"/>
                <w:lang w:eastAsia="zh-CN"/>
              </w:rPr>
            </w:pPr>
            <w:r>
              <w:rPr>
                <w:rFonts w:hint="eastAsia" w:ascii="仿宋" w:hAnsi="仿宋" w:eastAsia="仿宋" w:cs="宋体"/>
                <w:sz w:val="22"/>
                <w:szCs w:val="22"/>
                <w:lang w:eastAsia="zh-CN"/>
              </w:rPr>
              <w:t>26.30%</w:t>
            </w:r>
          </w:p>
        </w:tc>
        <w:tc>
          <w:tcPr>
            <w:tcW w:w="125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cs="宋体"/>
                <w:sz w:val="22"/>
                <w:szCs w:val="22"/>
                <w:lang w:eastAsia="zh-CN"/>
              </w:rPr>
            </w:pPr>
            <w:r>
              <w:rPr>
                <w:rFonts w:hint="eastAsia" w:ascii="仿宋" w:hAnsi="仿宋" w:eastAsia="仿宋" w:cs="宋体"/>
                <w:sz w:val="22"/>
                <w:szCs w:val="22"/>
                <w:lang w:eastAsia="zh-CN"/>
              </w:rPr>
              <w:t>916人</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cs="宋体"/>
                <w:sz w:val="22"/>
                <w:szCs w:val="22"/>
                <w:lang w:eastAsia="zh-CN"/>
              </w:rPr>
            </w:pPr>
            <w:r>
              <w:rPr>
                <w:rFonts w:hint="eastAsia" w:ascii="仿宋" w:hAnsi="仿宋" w:eastAsia="仿宋" w:cs="宋体"/>
                <w:sz w:val="22"/>
                <w:szCs w:val="22"/>
                <w:lang w:eastAsia="zh-CN"/>
              </w:rPr>
              <w:t>59.83%</w:t>
            </w:r>
          </w:p>
        </w:tc>
      </w:tr>
      <w:tr>
        <w:tblPrEx>
          <w:tblCellMar>
            <w:top w:w="0" w:type="dxa"/>
            <w:left w:w="108" w:type="dxa"/>
            <w:bottom w:w="0" w:type="dxa"/>
            <w:right w:w="108" w:type="dxa"/>
          </w:tblCellMar>
        </w:tblPrEx>
        <w:trPr>
          <w:trHeight w:val="609" w:hRule="atLeast"/>
          <w:jc w:val="center"/>
        </w:trPr>
        <w:tc>
          <w:tcPr>
            <w:tcW w:w="14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cs="宋体"/>
                <w:sz w:val="22"/>
                <w:szCs w:val="22"/>
                <w:lang w:eastAsia="zh-CN"/>
              </w:rPr>
            </w:pPr>
            <w:r>
              <w:rPr>
                <w:rFonts w:hint="eastAsia" w:ascii="仿宋" w:hAnsi="仿宋" w:eastAsia="仿宋" w:cs="宋体"/>
                <w:sz w:val="22"/>
                <w:szCs w:val="22"/>
                <w:lang w:eastAsia="zh-CN"/>
              </w:rPr>
              <w:t>2020年</w:t>
            </w:r>
          </w:p>
        </w:tc>
        <w:tc>
          <w:tcPr>
            <w:tcW w:w="14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cs="宋体"/>
                <w:sz w:val="22"/>
                <w:szCs w:val="22"/>
                <w:lang w:eastAsia="zh-CN"/>
              </w:rPr>
            </w:pPr>
            <w:r>
              <w:rPr>
                <w:rFonts w:hint="eastAsia" w:ascii="仿宋" w:hAnsi="仿宋" w:eastAsia="仿宋" w:cs="宋体"/>
                <w:sz w:val="22"/>
                <w:szCs w:val="22"/>
                <w:lang w:eastAsia="zh-CN"/>
              </w:rPr>
              <w:t>5758人</w:t>
            </w:r>
          </w:p>
        </w:tc>
        <w:tc>
          <w:tcPr>
            <w:tcW w:w="123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cs="宋体"/>
                <w:sz w:val="22"/>
                <w:szCs w:val="22"/>
                <w:lang w:eastAsia="zh-CN"/>
              </w:rPr>
            </w:pPr>
            <w:r>
              <w:rPr>
                <w:rFonts w:hint="eastAsia" w:ascii="仿宋" w:hAnsi="仿宋" w:eastAsia="仿宋" w:cs="宋体"/>
                <w:sz w:val="22"/>
                <w:szCs w:val="22"/>
                <w:lang w:eastAsia="zh-CN"/>
              </w:rPr>
              <w:t>1365人</w:t>
            </w:r>
          </w:p>
        </w:tc>
        <w:tc>
          <w:tcPr>
            <w:tcW w:w="160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cs="宋体"/>
                <w:sz w:val="22"/>
                <w:szCs w:val="22"/>
                <w:lang w:eastAsia="zh-CN"/>
              </w:rPr>
            </w:pPr>
            <w:r>
              <w:rPr>
                <w:rFonts w:hint="eastAsia" w:ascii="仿宋" w:hAnsi="仿宋" w:eastAsia="仿宋" w:cs="宋体"/>
                <w:sz w:val="22"/>
                <w:szCs w:val="22"/>
                <w:lang w:eastAsia="zh-CN"/>
              </w:rPr>
              <w:t>23.70%</w:t>
            </w:r>
          </w:p>
        </w:tc>
        <w:tc>
          <w:tcPr>
            <w:tcW w:w="125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cs="宋体"/>
                <w:sz w:val="22"/>
                <w:szCs w:val="22"/>
                <w:lang w:eastAsia="zh-CN"/>
              </w:rPr>
            </w:pPr>
            <w:r>
              <w:rPr>
                <w:rFonts w:hint="eastAsia" w:ascii="仿宋" w:hAnsi="仿宋" w:eastAsia="仿宋" w:cs="宋体"/>
                <w:sz w:val="22"/>
                <w:szCs w:val="22"/>
                <w:lang w:eastAsia="zh-CN"/>
              </w:rPr>
              <w:t>891人</w:t>
            </w:r>
          </w:p>
        </w:tc>
        <w:tc>
          <w:tcPr>
            <w:tcW w:w="159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cs="宋体"/>
                <w:sz w:val="22"/>
                <w:szCs w:val="22"/>
                <w:lang w:eastAsia="zh-CN"/>
              </w:rPr>
            </w:pPr>
            <w:r>
              <w:rPr>
                <w:rFonts w:hint="eastAsia" w:ascii="仿宋" w:hAnsi="仿宋" w:eastAsia="仿宋" w:cs="宋体"/>
                <w:sz w:val="22"/>
                <w:szCs w:val="22"/>
                <w:lang w:eastAsia="zh-CN"/>
              </w:rPr>
              <w:t>65.27</w:t>
            </w:r>
          </w:p>
        </w:tc>
      </w:tr>
    </w:tbl>
    <w:p>
      <w:pPr>
        <w:pStyle w:val="2"/>
        <w:spacing w:line="360" w:lineRule="auto"/>
        <w:ind w:left="480" w:firstLine="480"/>
        <w:rPr>
          <w:rFonts w:ascii="仿宋" w:hAnsi="仿宋" w:eastAsia="仿宋"/>
          <w:lang w:val="uk-UA"/>
        </w:rPr>
      </w:pPr>
    </w:p>
    <w:p>
      <w:pPr>
        <w:pStyle w:val="2"/>
        <w:spacing w:line="360" w:lineRule="auto"/>
        <w:ind w:left="0" w:leftChars="0" w:firstLine="0" w:firstLineChars="0"/>
        <w:jc w:val="center"/>
        <w:rPr>
          <w:rFonts w:ascii="仿宋" w:hAnsi="仿宋" w:eastAsia="仿宋"/>
          <w:lang w:val="uk-UA"/>
        </w:rPr>
      </w:pPr>
      <w:r>
        <w:drawing>
          <wp:inline distT="0" distB="0" distL="0" distR="0">
            <wp:extent cx="4572000" cy="2743200"/>
            <wp:effectExtent l="0" t="0" r="0" b="0"/>
            <wp:docPr id="66" name="图表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2"/>
        <w:spacing w:line="360" w:lineRule="auto"/>
        <w:ind w:left="0" w:leftChars="0" w:firstLine="0" w:firstLineChars="0"/>
        <w:jc w:val="center"/>
        <w:rPr>
          <w:rFonts w:ascii="仿宋" w:hAnsi="仿宋" w:eastAsia="仿宋" w:cs="宋体"/>
          <w:sz w:val="28"/>
          <w:szCs w:val="28"/>
          <w:lang w:eastAsia="zh-CN"/>
        </w:rPr>
      </w:pPr>
      <w:r>
        <w:rPr>
          <w:rFonts w:hint="eastAsia" w:ascii="仿宋" w:hAnsi="仿宋" w:eastAsia="仿宋" w:cs="宋体"/>
          <w:sz w:val="28"/>
          <w:szCs w:val="28"/>
          <w:lang w:eastAsia="zh-CN"/>
        </w:rPr>
        <w:t>大同市中等职业学生就业产业分布与产业比重对照图</w:t>
      </w:r>
    </w:p>
    <w:p>
      <w:pPr>
        <w:pStyle w:val="2"/>
        <w:spacing w:line="360" w:lineRule="auto"/>
        <w:ind w:left="0" w:leftChars="0" w:firstLine="0" w:firstLineChars="0"/>
        <w:jc w:val="center"/>
        <w:rPr>
          <w:rFonts w:eastAsia="仿宋" w:asciiTheme="minorHAnsi" w:hAnsiTheme="minorHAnsi"/>
          <w:lang w:val="uk-UA"/>
        </w:rPr>
      </w:pPr>
      <w:r>
        <w:rPr>
          <w:rFonts w:ascii="仿宋" w:hAnsi="仿宋" w:eastAsia="仿宋"/>
          <w:lang w:eastAsia="zh-CN"/>
        </w:rPr>
        <w:drawing>
          <wp:inline distT="0" distB="0" distL="0" distR="0">
            <wp:extent cx="4572000" cy="2743200"/>
            <wp:effectExtent l="0" t="0" r="0" b="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2"/>
        <w:spacing w:line="360" w:lineRule="auto"/>
        <w:ind w:left="0" w:leftChars="0" w:firstLine="0" w:firstLineChars="0"/>
        <w:jc w:val="center"/>
        <w:rPr>
          <w:rFonts w:eastAsia="仿宋" w:asciiTheme="minorHAnsi" w:hAnsiTheme="minorHAnsi"/>
          <w:lang w:val="uk-UA"/>
        </w:rPr>
      </w:pPr>
      <w:r>
        <w:drawing>
          <wp:inline distT="0" distB="0" distL="0" distR="0">
            <wp:extent cx="4572000" cy="2743200"/>
            <wp:effectExtent l="0" t="0" r="0" b="0"/>
            <wp:docPr id="67" name="图表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4"/>
        <w:spacing w:before="0" w:after="0" w:line="360" w:lineRule="auto"/>
        <w:ind w:firstLine="560"/>
        <w:jc w:val="both"/>
        <w:rPr>
          <w:rFonts w:ascii="仿宋" w:hAnsi="仿宋" w:eastAsia="仿宋" w:cs="楷体"/>
          <w:bCs w:val="0"/>
          <w:sz w:val="28"/>
          <w:szCs w:val="28"/>
        </w:rPr>
      </w:pPr>
      <w:bookmarkStart w:id="25" w:name="_Toc66798310"/>
      <w:r>
        <w:rPr>
          <w:rFonts w:hint="eastAsia" w:ascii="仿宋" w:hAnsi="仿宋" w:eastAsia="仿宋" w:cs="楷体"/>
          <w:bCs w:val="0"/>
          <w:sz w:val="28"/>
          <w:szCs w:val="28"/>
        </w:rPr>
        <w:t>5</w:t>
      </w:r>
      <w:r>
        <w:rPr>
          <w:rFonts w:hint="eastAsia" w:ascii="仿宋" w:hAnsi="仿宋" w:eastAsia="仿宋" w:cs="楷体"/>
          <w:bCs w:val="0"/>
          <w:sz w:val="28"/>
          <w:szCs w:val="28"/>
          <w:lang w:eastAsia="zh-CN"/>
        </w:rPr>
        <w:t>.</w:t>
      </w:r>
      <w:r>
        <w:rPr>
          <w:rFonts w:hint="eastAsia" w:ascii="仿宋" w:hAnsi="仿宋" w:eastAsia="仿宋" w:cs="楷体"/>
          <w:bCs w:val="0"/>
          <w:sz w:val="28"/>
          <w:szCs w:val="28"/>
        </w:rPr>
        <w:t>2社会服务</w:t>
      </w:r>
      <w:bookmarkEnd w:id="25"/>
    </w:p>
    <w:p>
      <w:pPr>
        <w:pStyle w:val="4"/>
        <w:spacing w:before="0" w:after="0" w:line="360" w:lineRule="auto"/>
        <w:ind w:firstLine="560"/>
        <w:jc w:val="both"/>
        <w:rPr>
          <w:rFonts w:ascii="仿宋" w:hAnsi="仿宋" w:eastAsia="仿宋" w:cs="仿宋_GB2312"/>
          <w:sz w:val="28"/>
          <w:szCs w:val="28"/>
        </w:rPr>
      </w:pPr>
      <w:bookmarkStart w:id="26" w:name="_Toc66798311"/>
      <w:r>
        <w:rPr>
          <w:rFonts w:hint="eastAsia" w:ascii="仿宋" w:hAnsi="仿宋" w:eastAsia="仿宋" w:cs="仿宋_GB2312"/>
          <w:sz w:val="28"/>
          <w:szCs w:val="28"/>
        </w:rPr>
        <w:t>5</w:t>
      </w:r>
      <w:r>
        <w:rPr>
          <w:rFonts w:hint="eastAsia" w:ascii="仿宋" w:hAnsi="仿宋" w:eastAsia="仿宋" w:cs="仿宋_GB2312"/>
          <w:sz w:val="28"/>
          <w:szCs w:val="28"/>
          <w:lang w:eastAsia="zh-CN"/>
        </w:rPr>
        <w:t>.</w:t>
      </w:r>
      <w:r>
        <w:rPr>
          <w:rFonts w:hint="eastAsia" w:ascii="仿宋" w:hAnsi="仿宋" w:eastAsia="仿宋" w:cs="仿宋_GB2312"/>
          <w:sz w:val="28"/>
          <w:szCs w:val="28"/>
        </w:rPr>
        <w:t>2</w:t>
      </w:r>
      <w:r>
        <w:rPr>
          <w:rFonts w:hint="eastAsia" w:ascii="仿宋" w:hAnsi="仿宋" w:eastAsia="仿宋" w:cs="仿宋_GB2312"/>
          <w:sz w:val="28"/>
          <w:szCs w:val="28"/>
          <w:lang w:eastAsia="zh-CN"/>
        </w:rPr>
        <w:t>.</w:t>
      </w:r>
      <w:r>
        <w:rPr>
          <w:rFonts w:hint="eastAsia" w:ascii="仿宋" w:hAnsi="仿宋" w:eastAsia="仿宋" w:cs="仿宋_GB2312"/>
          <w:sz w:val="28"/>
          <w:szCs w:val="28"/>
        </w:rPr>
        <w:t>1培训服务</w:t>
      </w:r>
      <w:bookmarkEnd w:id="26"/>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我市充分利用现有职业教育改革发展成果和资源优势，坚持学历教育和社会培训两条腿走路，支持各县级职教中心把握正确方向，坚持立德树人，开设县域特色产业的特色专业，推动其紧密结合当地经济社会发展需要，强化开放办学、校企合作、产教融合，不断提升办学水平，培养更多有知识、懂技术的高素质技能人才，积极推动贫困地区职业教育上个新台阶；坚持职业教育和职业培训并重，立足服务发展，以促进就业为导向，秉持扶智、扶技、扶志相结合的原则，积极参与人社部门“全民技能提升工程”，立足本地产业发展和贫困户脱贫需求，面向农村富余劳动力、农民工，广泛实施订单式、定向式和项目制培训，帮助越来越多的农村家庭实现脱贫。2020年，我市职业院校培训共计开展培训4095人次，培训专业及方向包括焊接、计算机、农艺工、果树栽培技术、保健按摩、母婴护理、农业种植、民间传统工艺制作、电工、家畜饲养、建筑瓦工、矿井通风、数控车工、电子商务、缝纫工等。多专业多方向的培训内容，提高了培训的取证率、就业率、增收率，使越来越多的人受益于培训。</w:t>
      </w:r>
    </w:p>
    <w:p>
      <w:pPr>
        <w:pStyle w:val="4"/>
        <w:spacing w:before="0" w:after="0" w:line="360" w:lineRule="auto"/>
        <w:ind w:firstLine="560"/>
        <w:jc w:val="both"/>
        <w:rPr>
          <w:rFonts w:ascii="仿宋" w:hAnsi="仿宋" w:eastAsia="仿宋" w:cs="仿宋_GB2312"/>
          <w:sz w:val="28"/>
          <w:szCs w:val="28"/>
        </w:rPr>
      </w:pPr>
      <w:bookmarkStart w:id="27" w:name="_Toc66798312"/>
      <w:r>
        <w:rPr>
          <w:rFonts w:hint="eastAsia" w:ascii="仿宋" w:hAnsi="仿宋" w:eastAsia="仿宋" w:cs="仿宋_GB2312"/>
          <w:sz w:val="28"/>
          <w:szCs w:val="28"/>
        </w:rPr>
        <w:t>5</w:t>
      </w:r>
      <w:r>
        <w:rPr>
          <w:rFonts w:hint="eastAsia" w:ascii="仿宋" w:hAnsi="仿宋" w:eastAsia="仿宋" w:cs="仿宋_GB2312"/>
          <w:sz w:val="28"/>
          <w:szCs w:val="28"/>
          <w:lang w:eastAsia="zh-CN"/>
        </w:rPr>
        <w:t>.</w:t>
      </w:r>
      <w:r>
        <w:rPr>
          <w:rFonts w:hint="eastAsia" w:ascii="仿宋" w:hAnsi="仿宋" w:eastAsia="仿宋" w:cs="仿宋_GB2312"/>
          <w:sz w:val="28"/>
          <w:szCs w:val="28"/>
        </w:rPr>
        <w:t>2</w:t>
      </w:r>
      <w:r>
        <w:rPr>
          <w:rFonts w:hint="eastAsia" w:ascii="仿宋" w:hAnsi="仿宋" w:eastAsia="仿宋" w:cs="仿宋_GB2312"/>
          <w:sz w:val="28"/>
          <w:szCs w:val="28"/>
          <w:lang w:eastAsia="zh-CN"/>
        </w:rPr>
        <w:t>.</w:t>
      </w:r>
      <w:r>
        <w:rPr>
          <w:rFonts w:hint="eastAsia" w:ascii="仿宋" w:hAnsi="仿宋" w:eastAsia="仿宋" w:cs="仿宋_GB2312"/>
          <w:sz w:val="28"/>
          <w:szCs w:val="28"/>
        </w:rPr>
        <w:t>2技术服务</w:t>
      </w:r>
      <w:bookmarkEnd w:id="27"/>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lang w:eastAsia="zh-CN"/>
        </w:rPr>
        <w:t>2020</w:t>
      </w:r>
      <w:r>
        <w:rPr>
          <w:rFonts w:hint="eastAsia" w:ascii="仿宋" w:hAnsi="仿宋" w:eastAsia="仿宋" w:cs="仿宋_GB2312"/>
          <w:sz w:val="28"/>
          <w:szCs w:val="28"/>
        </w:rPr>
        <w:t>年我市各职业学校在完成全日制教学任务的同时，积极与企业合作，承担起企业技术人员的培训工作。据统计，全市中等职业学校</w:t>
      </w:r>
      <w:r>
        <w:rPr>
          <w:rFonts w:hint="eastAsia" w:ascii="仿宋" w:hAnsi="仿宋" w:eastAsia="仿宋" w:cs="仿宋_GB2312"/>
          <w:sz w:val="28"/>
          <w:szCs w:val="28"/>
          <w:lang w:eastAsia="zh-CN"/>
        </w:rPr>
        <w:t>2020</w:t>
      </w:r>
      <w:r>
        <w:rPr>
          <w:rFonts w:hint="eastAsia" w:ascii="仿宋" w:hAnsi="仿宋" w:eastAsia="仿宋" w:cs="仿宋_GB2312"/>
          <w:sz w:val="28"/>
          <w:szCs w:val="28"/>
        </w:rPr>
        <w:t>年度累计完成年培训达到</w:t>
      </w:r>
      <w:r>
        <w:rPr>
          <w:rFonts w:hint="eastAsia" w:ascii="仿宋" w:hAnsi="仿宋" w:eastAsia="仿宋" w:cs="仿宋_GB2312"/>
          <w:sz w:val="28"/>
          <w:szCs w:val="28"/>
          <w:lang w:eastAsia="zh-CN"/>
        </w:rPr>
        <w:t>13965</w:t>
      </w:r>
      <w:r>
        <w:rPr>
          <w:rFonts w:hint="eastAsia" w:ascii="仿宋" w:hAnsi="仿宋" w:eastAsia="仿宋" w:cs="仿宋_GB2312"/>
          <w:sz w:val="28"/>
          <w:szCs w:val="28"/>
        </w:rPr>
        <w:t>人次。</w:t>
      </w:r>
    </w:p>
    <w:p>
      <w:pPr>
        <w:pStyle w:val="4"/>
        <w:spacing w:before="0" w:after="0" w:line="360" w:lineRule="auto"/>
        <w:ind w:firstLine="560"/>
        <w:jc w:val="both"/>
        <w:rPr>
          <w:rFonts w:ascii="仿宋" w:hAnsi="仿宋" w:eastAsia="仿宋" w:cs="仿宋_GB2312"/>
          <w:sz w:val="28"/>
          <w:szCs w:val="28"/>
        </w:rPr>
      </w:pPr>
      <w:bookmarkStart w:id="28" w:name="_Toc66798313"/>
      <w:r>
        <w:rPr>
          <w:rFonts w:hint="eastAsia" w:ascii="仿宋" w:hAnsi="仿宋" w:eastAsia="仿宋" w:cs="仿宋_GB2312"/>
          <w:sz w:val="28"/>
          <w:szCs w:val="28"/>
        </w:rPr>
        <w:t>5</w:t>
      </w:r>
      <w:r>
        <w:rPr>
          <w:rFonts w:hint="eastAsia" w:ascii="仿宋" w:hAnsi="仿宋" w:eastAsia="仿宋" w:cs="仿宋_GB2312"/>
          <w:sz w:val="28"/>
          <w:szCs w:val="28"/>
          <w:lang w:eastAsia="zh-CN"/>
        </w:rPr>
        <w:t>.</w:t>
      </w:r>
      <w:r>
        <w:rPr>
          <w:rFonts w:hint="eastAsia" w:ascii="仿宋" w:hAnsi="仿宋" w:eastAsia="仿宋" w:cs="仿宋_GB2312"/>
          <w:sz w:val="28"/>
          <w:szCs w:val="28"/>
        </w:rPr>
        <w:t>2</w:t>
      </w:r>
      <w:r>
        <w:rPr>
          <w:rFonts w:hint="eastAsia" w:ascii="仿宋" w:hAnsi="仿宋" w:eastAsia="仿宋" w:cs="仿宋_GB2312"/>
          <w:sz w:val="28"/>
          <w:szCs w:val="28"/>
          <w:lang w:eastAsia="zh-CN"/>
        </w:rPr>
        <w:t>.</w:t>
      </w:r>
      <w:r>
        <w:rPr>
          <w:rFonts w:hint="eastAsia" w:ascii="仿宋" w:hAnsi="仿宋" w:eastAsia="仿宋" w:cs="仿宋_GB2312"/>
          <w:sz w:val="28"/>
          <w:szCs w:val="28"/>
        </w:rPr>
        <w:t>3文化传承</w:t>
      </w:r>
      <w:bookmarkEnd w:id="28"/>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中等职业教育作为与普通高中教育不同的类型教育，除技术技能教学外，还承担着中华传统文化的传承任务。大同市文化艺术学校在传统戏剧表演方面、广灵县职业中学在剪纸工艺方面，勇于担当，聘请社会行业知名专家能手，将技术技能积累、传统工艺等宝贵的经验财富薪火相传。</w:t>
      </w:r>
    </w:p>
    <w:p>
      <w:pPr>
        <w:pStyle w:val="4"/>
        <w:spacing w:before="0" w:after="0" w:line="360" w:lineRule="auto"/>
        <w:ind w:firstLine="560"/>
        <w:jc w:val="both"/>
        <w:rPr>
          <w:rFonts w:ascii="仿宋" w:hAnsi="仿宋" w:eastAsia="仿宋" w:cs="楷体"/>
          <w:bCs w:val="0"/>
          <w:sz w:val="28"/>
          <w:szCs w:val="28"/>
        </w:rPr>
      </w:pPr>
      <w:bookmarkStart w:id="29" w:name="_Toc66798314"/>
      <w:r>
        <w:rPr>
          <w:rFonts w:hint="eastAsia" w:ascii="仿宋" w:hAnsi="仿宋" w:eastAsia="仿宋" w:cs="楷体"/>
          <w:bCs w:val="0"/>
          <w:sz w:val="28"/>
          <w:szCs w:val="28"/>
        </w:rPr>
        <w:t>5</w:t>
      </w:r>
      <w:r>
        <w:rPr>
          <w:rFonts w:hint="eastAsia" w:ascii="仿宋" w:hAnsi="仿宋" w:eastAsia="仿宋" w:cs="楷体"/>
          <w:bCs w:val="0"/>
          <w:sz w:val="28"/>
          <w:szCs w:val="28"/>
          <w:lang w:eastAsia="zh-CN"/>
        </w:rPr>
        <w:t>.</w:t>
      </w:r>
      <w:r>
        <w:rPr>
          <w:rFonts w:hint="eastAsia" w:ascii="仿宋" w:hAnsi="仿宋" w:eastAsia="仿宋" w:cs="楷体"/>
          <w:bCs w:val="0"/>
          <w:sz w:val="28"/>
          <w:szCs w:val="28"/>
        </w:rPr>
        <w:t>3对口支援</w:t>
      </w:r>
      <w:bookmarkEnd w:id="29"/>
    </w:p>
    <w:p>
      <w:pPr>
        <w:pStyle w:val="4"/>
        <w:spacing w:before="0" w:after="0" w:line="360" w:lineRule="auto"/>
        <w:ind w:firstLine="560"/>
        <w:jc w:val="both"/>
        <w:rPr>
          <w:rFonts w:ascii="仿宋" w:hAnsi="仿宋" w:eastAsia="仿宋" w:cs="楷体"/>
          <w:bCs w:val="0"/>
          <w:sz w:val="28"/>
          <w:szCs w:val="28"/>
        </w:rPr>
      </w:pPr>
      <w:bookmarkStart w:id="30" w:name="_Toc66798315"/>
      <w:r>
        <w:rPr>
          <w:rFonts w:hint="eastAsia" w:ascii="仿宋" w:hAnsi="仿宋" w:eastAsia="仿宋" w:cs="楷体"/>
          <w:bCs w:val="0"/>
          <w:sz w:val="28"/>
          <w:szCs w:val="28"/>
        </w:rPr>
        <w:t>5</w:t>
      </w:r>
      <w:r>
        <w:rPr>
          <w:rFonts w:hint="eastAsia" w:ascii="仿宋" w:hAnsi="仿宋" w:eastAsia="仿宋" w:cs="楷体"/>
          <w:bCs w:val="0"/>
          <w:sz w:val="28"/>
          <w:szCs w:val="28"/>
          <w:lang w:eastAsia="zh-CN"/>
        </w:rPr>
        <w:t>.</w:t>
      </w:r>
      <w:r>
        <w:rPr>
          <w:rFonts w:hint="eastAsia" w:ascii="仿宋" w:hAnsi="仿宋" w:eastAsia="仿宋" w:cs="楷体"/>
          <w:bCs w:val="0"/>
          <w:sz w:val="28"/>
          <w:szCs w:val="28"/>
        </w:rPr>
        <w:t>3</w:t>
      </w:r>
      <w:r>
        <w:rPr>
          <w:rFonts w:hint="eastAsia" w:ascii="仿宋" w:hAnsi="仿宋" w:eastAsia="仿宋" w:cs="楷体"/>
          <w:bCs w:val="0"/>
          <w:sz w:val="28"/>
          <w:szCs w:val="28"/>
          <w:lang w:eastAsia="zh-CN"/>
        </w:rPr>
        <w:t>.</w:t>
      </w:r>
      <w:r>
        <w:rPr>
          <w:rFonts w:hint="eastAsia" w:ascii="仿宋" w:hAnsi="仿宋" w:eastAsia="仿宋" w:cs="楷体"/>
          <w:bCs w:val="0"/>
          <w:sz w:val="28"/>
          <w:szCs w:val="28"/>
        </w:rPr>
        <w:t>1东西部对口帮扶</w:t>
      </w:r>
      <w:bookmarkEnd w:id="30"/>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我市各职业学校积极参与东西部对口帮扶工作。</w:t>
      </w:r>
      <w:r>
        <w:rPr>
          <w:rFonts w:hint="eastAsia" w:ascii="仿宋" w:hAnsi="仿宋" w:eastAsia="仿宋" w:cs="仿宋_GB2312"/>
          <w:sz w:val="28"/>
          <w:szCs w:val="28"/>
          <w:lang w:eastAsia="zh-CN"/>
        </w:rPr>
        <w:t>2020</w:t>
      </w:r>
      <w:r>
        <w:rPr>
          <w:rFonts w:hint="eastAsia" w:ascii="仿宋" w:hAnsi="仿宋" w:eastAsia="仿宋" w:cs="仿宋_GB2312"/>
          <w:sz w:val="28"/>
          <w:szCs w:val="28"/>
        </w:rPr>
        <w:t>年组织浑源县大方高级职业中学、浑源县北岳高级职业中学、阳高县职业中学等学校参与“北京——燕太地区职教扶贫协作区”，合作开展职教扶贫，倾力助推精准扶贫、精准脱贫。积极探索“集团化职业教育+精准扶贫+区域协同发展”的区域扶贫共建模式，培养“造血”能力，激发自力更生、艰苦奋斗、光荣脱贫的内生动力，为推动连片深度贫困地区精准扶贫、精准脱贫和区域协同发展积累经验并发挥示范带动作用。</w:t>
      </w:r>
    </w:p>
    <w:p>
      <w:pPr>
        <w:pStyle w:val="4"/>
        <w:spacing w:before="0" w:after="0" w:line="360" w:lineRule="auto"/>
        <w:ind w:firstLine="560"/>
        <w:jc w:val="both"/>
        <w:rPr>
          <w:rFonts w:ascii="仿宋" w:hAnsi="仿宋" w:eastAsia="仿宋" w:cs="楷体"/>
          <w:bCs w:val="0"/>
          <w:sz w:val="28"/>
          <w:szCs w:val="28"/>
        </w:rPr>
      </w:pPr>
      <w:bookmarkStart w:id="31" w:name="_Toc66798316"/>
      <w:r>
        <w:rPr>
          <w:rFonts w:hint="eastAsia" w:ascii="仿宋" w:hAnsi="仿宋" w:eastAsia="仿宋" w:cs="楷体"/>
          <w:bCs w:val="0"/>
          <w:sz w:val="28"/>
          <w:szCs w:val="28"/>
        </w:rPr>
        <w:t>5</w:t>
      </w:r>
      <w:r>
        <w:rPr>
          <w:rFonts w:hint="eastAsia" w:ascii="仿宋" w:hAnsi="仿宋" w:eastAsia="仿宋" w:cs="楷体"/>
          <w:bCs w:val="0"/>
          <w:sz w:val="28"/>
          <w:szCs w:val="28"/>
          <w:lang w:eastAsia="zh-CN"/>
        </w:rPr>
        <w:t>.</w:t>
      </w:r>
      <w:r>
        <w:rPr>
          <w:rFonts w:hint="eastAsia" w:ascii="仿宋" w:hAnsi="仿宋" w:eastAsia="仿宋" w:cs="楷体"/>
          <w:bCs w:val="0"/>
          <w:sz w:val="28"/>
          <w:szCs w:val="28"/>
        </w:rPr>
        <w:t>3</w:t>
      </w:r>
      <w:r>
        <w:rPr>
          <w:rFonts w:hint="eastAsia" w:ascii="仿宋" w:hAnsi="仿宋" w:eastAsia="仿宋" w:cs="楷体"/>
          <w:bCs w:val="0"/>
          <w:sz w:val="28"/>
          <w:szCs w:val="28"/>
          <w:lang w:eastAsia="zh-CN"/>
        </w:rPr>
        <w:t>.</w:t>
      </w:r>
      <w:r>
        <w:rPr>
          <w:rFonts w:hint="eastAsia" w:ascii="仿宋" w:hAnsi="仿宋" w:eastAsia="仿宋" w:cs="楷体"/>
          <w:bCs w:val="0"/>
          <w:sz w:val="28"/>
          <w:szCs w:val="28"/>
        </w:rPr>
        <w:t>2省内对口扶贫</w:t>
      </w:r>
      <w:bookmarkEnd w:id="31"/>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各职业学校深入贯彻落实习近平总书记视察山西重要讲话精神，高度重视对口扶贫工作，强化帮扶工作团队，选配帮扶责任人，出台帮扶责任人管理制度，制定奖励办法，细化工作任务。充分发挥职业学校的优势，广泛开展贫困户劳动力技术技能培训，为其再就业提供大力支持。同时通过开展进村入户、清洁家园、送温暖等一系列活动，在改善村民经济收入的同时，有效地提升了村民精神层面的获得感。</w:t>
      </w:r>
    </w:p>
    <w:p>
      <w:pPr>
        <w:pStyle w:val="4"/>
        <w:spacing w:before="0" w:after="0" w:line="360" w:lineRule="auto"/>
        <w:ind w:firstLine="560"/>
        <w:jc w:val="both"/>
        <w:rPr>
          <w:rFonts w:ascii="仿宋" w:hAnsi="仿宋" w:eastAsia="仿宋" w:cs="仿宋_GB2312"/>
          <w:kern w:val="0"/>
          <w:sz w:val="28"/>
          <w:szCs w:val="28"/>
          <w:lang w:eastAsia="zh-CN"/>
        </w:rPr>
      </w:pPr>
      <w:bookmarkStart w:id="32" w:name="_Toc66798317"/>
      <w:r>
        <w:rPr>
          <w:rFonts w:hint="eastAsia" w:ascii="仿宋" w:hAnsi="仿宋" w:eastAsia="仿宋" w:cs="仿宋_GB2312"/>
          <w:kern w:val="0"/>
          <w:sz w:val="28"/>
          <w:szCs w:val="28"/>
        </w:rPr>
        <w:t>5</w:t>
      </w:r>
      <w:r>
        <w:rPr>
          <w:rFonts w:hint="eastAsia" w:ascii="仿宋" w:hAnsi="仿宋" w:eastAsia="仿宋" w:cs="仿宋_GB2312"/>
          <w:kern w:val="0"/>
          <w:sz w:val="28"/>
          <w:szCs w:val="28"/>
          <w:lang w:eastAsia="zh-CN"/>
        </w:rPr>
        <w:t>.4服务抗疫</w:t>
      </w:r>
      <w:bookmarkEnd w:id="32"/>
    </w:p>
    <w:p>
      <w:pPr>
        <w:spacing w:line="360" w:lineRule="auto"/>
        <w:ind w:firstLine="560"/>
        <w:jc w:val="both"/>
        <w:rPr>
          <w:rFonts w:ascii="仿宋" w:hAnsi="仿宋" w:eastAsia="仿宋" w:cs="仿宋_GB2312"/>
          <w:sz w:val="28"/>
          <w:szCs w:val="28"/>
          <w:lang w:eastAsia="zh-CN"/>
        </w:rPr>
      </w:pPr>
      <w:r>
        <w:rPr>
          <w:rFonts w:hint="eastAsia" w:ascii="仿宋" w:hAnsi="仿宋" w:eastAsia="仿宋" w:cs="仿宋_GB2312"/>
          <w:sz w:val="28"/>
          <w:szCs w:val="28"/>
          <w:lang w:eastAsia="zh-CN"/>
        </w:rPr>
        <w:t>严格落实新冠疫情防控相关要求，扎实做好全市职业学校的疫情防控和教学工作。配合出台了《关于做好全市小学低段、幼儿园、特殊教育学校以及校外培训机构开学准备工作的通知》文件，全力做好全市职业学校疫情防控以及复学的市级督查工作。同时组织全市职业学校严格落实疫情防控相关要求，科学制定防控方案、积极准备防控物质、周密部署防控任务、精细排查所有人员、强化日常防控措施，做好做足了复学准备。疫情防控期间，印发《关于全市教育系统在疫情防控期间开展“校园抗疫情 党员先锋行”活动的通知》、《关于在疫情防控和开学工作中充分发挥党组织和党员作用的通知》，组建局机关6批“共产党员先锋队”“共产党员志愿服务队”下沉社区，服务抗疫一线，引导教育系统各级党组织和全体党员讲政治、顾大局，扛责在肩、冲锋在前。我市各职业学校组织单位党员干部下沉到各个社区，值守在疫情防控一线，承担起多个社区卡口的执勤任务，检查进出小区居民的通行证并做好登记，为守护居民健康安全，筑起一道坚实的防疫“安全屏障”。</w:t>
      </w:r>
    </w:p>
    <w:p>
      <w:pPr>
        <w:pStyle w:val="2"/>
        <w:ind w:left="0" w:leftChars="0" w:firstLine="0" w:firstLineChars="0"/>
        <w:jc w:val="center"/>
        <w:rPr>
          <w:rFonts w:eastAsia="仿宋"/>
          <w:lang w:eastAsia="zh-CN"/>
        </w:rPr>
      </w:pPr>
      <w:r>
        <w:drawing>
          <wp:inline distT="0" distB="0" distL="0" distR="0">
            <wp:extent cx="4305300" cy="43053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305300" cy="4305300"/>
                    </a:xfrm>
                    <a:prstGeom prst="rect">
                      <a:avLst/>
                    </a:prstGeom>
                    <a:noFill/>
                    <a:ln>
                      <a:noFill/>
                    </a:ln>
                  </pic:spPr>
                </pic:pic>
              </a:graphicData>
            </a:graphic>
          </wp:inline>
        </w:drawing>
      </w:r>
    </w:p>
    <w:p>
      <w:pPr>
        <w:pStyle w:val="2"/>
        <w:ind w:left="0" w:leftChars="0" w:firstLine="0" w:firstLineChars="0"/>
        <w:jc w:val="center"/>
        <w:rPr>
          <w:rFonts w:eastAsia="仿宋"/>
          <w:lang w:eastAsia="zh-CN"/>
        </w:rPr>
      </w:pPr>
    </w:p>
    <w:p>
      <w:pPr>
        <w:pStyle w:val="2"/>
        <w:spacing w:line="360" w:lineRule="auto"/>
        <w:ind w:left="0" w:leftChars="0" w:firstLine="0" w:firstLineChars="0"/>
        <w:jc w:val="center"/>
        <w:rPr>
          <w:rFonts w:ascii="黑体" w:hAnsi="黑体" w:eastAsia="黑体"/>
          <w:lang w:eastAsia="zh-CN"/>
        </w:rPr>
      </w:pPr>
      <w:r>
        <w:rPr>
          <w:rFonts w:hint="eastAsia" w:ascii="黑体" w:hAnsi="黑体" w:eastAsia="黑体"/>
          <w:lang w:eastAsia="zh-CN"/>
        </w:rPr>
        <w:t>大同一职中组织学生做疫情应急演练</w:t>
      </w:r>
    </w:p>
    <w:p>
      <w:pPr>
        <w:pStyle w:val="2"/>
        <w:ind w:left="0" w:leftChars="0" w:firstLine="0" w:firstLineChars="0"/>
        <w:jc w:val="center"/>
        <w:rPr>
          <w:rFonts w:eastAsia="仿宋"/>
          <w:lang w:eastAsia="zh-CN"/>
        </w:rPr>
      </w:pPr>
      <w:r>
        <w:drawing>
          <wp:inline distT="0" distB="0" distL="0" distR="0">
            <wp:extent cx="5274310" cy="3515995"/>
            <wp:effectExtent l="0" t="0" r="2540" b="825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pPr>
        <w:pStyle w:val="2"/>
        <w:ind w:left="0" w:leftChars="0" w:firstLine="0" w:firstLineChars="0"/>
        <w:jc w:val="center"/>
        <w:rPr>
          <w:rFonts w:ascii="黑体" w:hAnsi="黑体" w:eastAsia="黑体"/>
          <w:lang w:eastAsia="zh-CN"/>
        </w:rPr>
      </w:pPr>
    </w:p>
    <w:p>
      <w:pPr>
        <w:pStyle w:val="2"/>
        <w:ind w:left="0" w:leftChars="0" w:firstLine="0" w:firstLineChars="0"/>
        <w:jc w:val="center"/>
        <w:rPr>
          <w:rFonts w:ascii="黑体" w:hAnsi="黑体" w:eastAsia="黑体"/>
          <w:lang w:eastAsia="zh-CN"/>
        </w:rPr>
      </w:pPr>
      <w:r>
        <w:rPr>
          <w:rFonts w:hint="eastAsia" w:ascii="黑体" w:hAnsi="黑体" w:eastAsia="黑体"/>
          <w:lang w:eastAsia="zh-CN"/>
        </w:rPr>
        <w:t>大同二职举行冬季预防传染病讲座</w:t>
      </w:r>
    </w:p>
    <w:p>
      <w:pPr>
        <w:pStyle w:val="4"/>
        <w:spacing w:before="0" w:after="0" w:line="360" w:lineRule="auto"/>
        <w:ind w:firstLine="560"/>
        <w:jc w:val="both"/>
        <w:rPr>
          <w:rFonts w:ascii="仿宋" w:hAnsi="仿宋" w:eastAsia="仿宋" w:cs="黑体"/>
          <w:bCs w:val="0"/>
          <w:sz w:val="28"/>
          <w:szCs w:val="28"/>
        </w:rPr>
      </w:pPr>
      <w:bookmarkStart w:id="33" w:name="_Toc66798318"/>
      <w:r>
        <w:rPr>
          <w:rFonts w:hint="eastAsia" w:ascii="仿宋" w:hAnsi="仿宋" w:eastAsia="仿宋" w:cs="黑体"/>
          <w:bCs w:val="0"/>
          <w:sz w:val="28"/>
          <w:szCs w:val="28"/>
        </w:rPr>
        <w:t>6</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政府履责</w:t>
      </w:r>
      <w:bookmarkEnd w:id="33"/>
    </w:p>
    <w:p>
      <w:pPr>
        <w:pStyle w:val="4"/>
        <w:spacing w:before="0" w:after="0" w:line="360" w:lineRule="auto"/>
        <w:ind w:firstLine="560"/>
        <w:jc w:val="both"/>
        <w:rPr>
          <w:rFonts w:ascii="仿宋" w:hAnsi="仿宋" w:eastAsia="仿宋" w:cs="楷体"/>
          <w:bCs w:val="0"/>
          <w:sz w:val="28"/>
          <w:szCs w:val="28"/>
        </w:rPr>
      </w:pPr>
      <w:bookmarkStart w:id="34" w:name="_Toc66798319"/>
      <w:r>
        <w:rPr>
          <w:rFonts w:hint="eastAsia" w:ascii="仿宋" w:hAnsi="仿宋" w:eastAsia="仿宋" w:cs="楷体"/>
          <w:bCs w:val="0"/>
          <w:sz w:val="28"/>
          <w:szCs w:val="28"/>
        </w:rPr>
        <w:t>6</w:t>
      </w:r>
      <w:r>
        <w:rPr>
          <w:rFonts w:hint="eastAsia" w:ascii="仿宋" w:hAnsi="仿宋" w:eastAsia="仿宋" w:cs="楷体"/>
          <w:bCs w:val="0"/>
          <w:sz w:val="28"/>
          <w:szCs w:val="28"/>
          <w:lang w:eastAsia="zh-CN"/>
        </w:rPr>
        <w:t>.</w:t>
      </w:r>
      <w:r>
        <w:rPr>
          <w:rFonts w:hint="eastAsia" w:ascii="仿宋" w:hAnsi="仿宋" w:eastAsia="仿宋" w:cs="楷体"/>
          <w:bCs w:val="0"/>
          <w:sz w:val="28"/>
          <w:szCs w:val="28"/>
        </w:rPr>
        <w:t>1经费</w:t>
      </w:r>
      <w:bookmarkEnd w:id="34"/>
    </w:p>
    <w:p>
      <w:pPr>
        <w:spacing w:line="360" w:lineRule="auto"/>
        <w:ind w:firstLine="560"/>
        <w:jc w:val="both"/>
        <w:rPr>
          <w:rFonts w:ascii="仿宋" w:hAnsi="仿宋" w:eastAsia="仿宋" w:cs="仿宋_GB2312"/>
          <w:sz w:val="28"/>
          <w:szCs w:val="28"/>
          <w:lang w:eastAsia="zh-CN"/>
        </w:rPr>
      </w:pPr>
      <w:r>
        <w:rPr>
          <w:rFonts w:hint="eastAsia" w:ascii="仿宋" w:hAnsi="仿宋" w:eastAsia="仿宋" w:cs="仿宋_GB2312"/>
          <w:sz w:val="28"/>
          <w:szCs w:val="28"/>
          <w:lang w:eastAsia="zh-CN"/>
        </w:rPr>
        <w:t>教育经费支出各级政府认真落实中等职业教育各项经费政策，全大同市教育经费总支出70.59亿元，中等职业教育经费支出4.67亿元。中等职业教育经费占教育经费总支出的比例为6.62%。2021年，全大同市中职教育生均教育经费支出为24183.34元。普通高中生均教育经费支出20104元。</w:t>
      </w:r>
    </w:p>
    <w:p>
      <w:pPr>
        <w:pStyle w:val="4"/>
        <w:spacing w:before="0" w:after="0" w:line="360" w:lineRule="auto"/>
        <w:ind w:firstLine="560"/>
        <w:jc w:val="both"/>
        <w:rPr>
          <w:rFonts w:ascii="仿宋" w:hAnsi="仿宋" w:eastAsia="仿宋" w:cs="楷体"/>
          <w:bCs w:val="0"/>
          <w:sz w:val="28"/>
          <w:szCs w:val="28"/>
        </w:rPr>
      </w:pPr>
      <w:bookmarkStart w:id="35" w:name="_Toc66798320"/>
      <w:r>
        <w:rPr>
          <w:rFonts w:hint="eastAsia" w:ascii="仿宋" w:hAnsi="仿宋" w:eastAsia="仿宋" w:cs="楷体"/>
          <w:bCs w:val="0"/>
          <w:sz w:val="28"/>
          <w:szCs w:val="28"/>
        </w:rPr>
        <w:t>6</w:t>
      </w:r>
      <w:r>
        <w:rPr>
          <w:rFonts w:hint="eastAsia" w:ascii="仿宋" w:hAnsi="仿宋" w:eastAsia="仿宋" w:cs="楷体"/>
          <w:bCs w:val="0"/>
          <w:sz w:val="28"/>
          <w:szCs w:val="28"/>
          <w:lang w:eastAsia="zh-CN"/>
        </w:rPr>
        <w:t>.</w:t>
      </w:r>
      <w:r>
        <w:rPr>
          <w:rFonts w:hint="eastAsia" w:ascii="仿宋" w:hAnsi="仿宋" w:eastAsia="仿宋" w:cs="楷体"/>
          <w:bCs w:val="0"/>
          <w:sz w:val="28"/>
          <w:szCs w:val="28"/>
        </w:rPr>
        <w:t>2政策措施</w:t>
      </w:r>
      <w:bookmarkEnd w:id="35"/>
    </w:p>
    <w:p>
      <w:pPr>
        <w:spacing w:line="360" w:lineRule="auto"/>
        <w:ind w:firstLine="560"/>
        <w:jc w:val="center"/>
        <w:rPr>
          <w:rFonts w:ascii="仿宋" w:hAnsi="仿宋" w:eastAsia="仿宋" w:cs="宋体"/>
          <w:b/>
          <w:bCs/>
          <w:color w:val="000000" w:themeColor="text1"/>
          <w14:textFill>
            <w14:solidFill>
              <w14:schemeClr w14:val="tx1"/>
            </w14:solidFill>
          </w14:textFill>
        </w:rPr>
      </w:pPr>
      <w:r>
        <w:rPr>
          <w:rFonts w:hint="eastAsia" w:ascii="仿宋" w:hAnsi="仿宋" w:eastAsia="仿宋" w:cs="宋体"/>
          <w:b/>
          <w:bCs/>
          <w:color w:val="000000" w:themeColor="text1"/>
          <w14:textFill>
            <w14:solidFill>
              <w14:schemeClr w14:val="tx1"/>
            </w14:solidFill>
          </w14:textFill>
        </w:rPr>
        <w:t>关于积极有效利用外资推动经济高质量发展的实施方案</w:t>
      </w:r>
    </w:p>
    <w:p>
      <w:pPr>
        <w:spacing w:line="360" w:lineRule="auto"/>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各县区人民政府,开发区管委会,市直各委、局、办:</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为深入贯彻习近平新时代中国特</w:t>
      </w:r>
      <w:bookmarkStart w:id="56" w:name="_GoBack"/>
      <w:bookmarkEnd w:id="56"/>
      <w:r>
        <w:rPr>
          <w:rFonts w:hint="eastAsia" w:ascii="仿宋" w:hAnsi="仿宋" w:eastAsia="仿宋" w:cs="仿宋_GB2312"/>
          <w:color w:val="000000" w:themeColor="text1"/>
          <w14:textFill>
            <w14:solidFill>
              <w14:schemeClr w14:val="tx1"/>
            </w14:solidFill>
          </w14:textFill>
        </w:rPr>
        <w:t>色社会主义思想和党的十九大精神,落实《国务院关于积极有效利用外资推动经济高质量发展若干措施的通知》(国发〔2018〕19号)和《山西省人民政府关于积极有效利用外资推动经济高质量发展的实施意见》(晋政发〔2019〕23号),实行更高水平的投资自由化、便利化政策,营造更加公开透明、更有吸引力的投资环境,实现利用外资新突破,助力我市经济实现高质量发展,结合实际提出如下实施方案。</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一、放宽市场准入,提升投资自由化水平</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一)全面落实准入前国民待遇加负面清单管理制度。认真贯彻落实《外商投资准入特别管理措施(负面清单)》,与国际通行规则对接,全面提升开放水平,以开放促改革、促发展、促创新。(市发改委、市商务局负责)负面清单之外的领域,各级各部门不得专门针对外商投资准入进行限制。(市直各部门和各县区人民政府负责)</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二)进一步扩大对外开放。根据国家、省、市统一部署,落实金融业、服务业、农业、采矿业、制造业等领域对外开放举措,进一步减少外资准入限制。(市发改委、市工信局、市农业农村局、市商务局、市能源局、市金融办、人行大同市中心支行、大同银保监分局负责)鼓励外商投资我市制造业重点发展领域,构建新兴产业快速成长、传统产业更具竞争力的现代产业格局。(市发改委、市工信局、市商务局、市促投局和各县区人民政府负责)鼓励外资参与旅游资源开发,进入医疗、养老等产业领域。(市发改委、市民政局、市卫健委、市文旅局和各县区人民政府负责)</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二、深化“放管服效”改革,提升投资便利化水平</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三)深化外商投资“放管服效”改革。开展相对集中行政许可权改革,整合优化审批服务机构和职责,实行“一枚印章管审批”。推行审批服务便民化,落实“3545”专项改革,精简审批流程、简化申报材料。对外商投资项目审批环节进行流程再造,并联审批,编制项目行政审批从立项到开工45个工作日并联审批流程图。制定外商投资项目行政审批委托代办制度。结合《大同市深化企业投资项目承诺制改革实施方案》,对纳入45个工作日办结程序项目实行一企一策档案管理,全程跟踪,精准帮办。(市行政审批局和各县区人民政府负责)提升更高水平贸易便利化,将进出口货物整体通关时间比2017年压缩50%。(大同海关负责)</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三、加大保障力度,实施全方位招商引资战略</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四)降低外商投资企业经营成本。落实减税降费政策,继续清理规范涉企收费,加大对乱收费的查处和整治力度。(市市场监管局、市发改委、市财政局、市税务局负责)在符合规划、不改变用途的前提下,外资制造业企业通过厂房加层、厂区改造、内部用地整理及扩建生产、仓储场所等,提高土地利用率和增加用地容积率的,不再增收土地价款。(市规划和自然资源局负责)落实境外投资者以分配利润直接投资暂不征收预提所得税政策,将适用范围由外商投资鼓励类项目扩大至所有非禁止外商投资项目和领域,鼓励外商扩大投资。(市税务局、市财政局负责)</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五)拓宽外资企业融资渠道。进一步完善我市“1+N”政府产业投资引导基金体系,纵向加强与国家、省级政府基金的合作,横向加强与大机构的联合,支持开发区围绕市委市政府战略决策和我市重点发展领域、重点项目,多渠道募集资金。加强与募资能力强的专业机构开展合作,依托具体项目设立子基金,更好发挥基金作用,运用专业化方式招商引资,以多种形式与外商投资企业开展战略合作,引入外资参与开发区或“区中园”的设计、建设、招商、运营。(市财政局负责)引导政府产业基金以股权投资等方式支持世界500强企业、全球行业龙头企业在我市投资。鼓励外商投资企业境内上市、“新三板”挂牌和区域股权市场融资,符合条件的,可同等享受《中共大同市委大同市人民政府鼓励和支持民营企业发展的“二十条”政策措施》中民营企业直接融资的相关奖补政策。(市财政局、市金融办、市工信局负责)加强外汇管理政策宣传与指导工作。指导企业用足用好国家支持对外经济发展的各项政策,协调解决涉外经济主体融资难、融资贵的具体问题。推动全口径跨境融资宏观审慎管理政策有效落地,强化对新开展跨境业务企业的培育指导和风险提示。在推进涉外企业跨境融资业务的同时,加强政策宣传和银企沟通,对符合我市产业结构调整方向的新兴产业企业给予跨境融资政策支持,降低其融资成本。(人行大同市中心支行、外汇局大同市中心支局负责)鼓励开展专利权质押融资,综合运用“贷款+保证保险+融资担保+财政风险补偿”手段支持企业。对以专利权质押方式融资达到300万元及以上的企业,一次性补助贷款利息、保险费、担保费、评估费等费用总额的50%,最高补助20万元。(市市场监管局、市财政局、市金融办、大同银保监分局负责)</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六)加大外资用地保障力度。鼓励各县(区)利用存量建设用地或增减挂钩节余指标,支持重大外资项目用地。各县(区)在安排土地利用计划时,对开发区引进外资、促进转型升级等用地给予倾斜支持。政府实施旧城改造,可以协议出让或以租赁方式为需要搬迁的外资工业项目重新安排工业用地。外商与政府共同投资建设医疗、教育、文化、养老、体育等公共服务项目,除可按划拨土地方式供应土地外,可以国有建设用地作价出资或入股方式供应土地。(市规划和自然资源局和各县区人民政府负责)</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七)健全外国人才引进制度。学习借鉴并按国家、省、市部署执行落实外国高端人才服务“一卡通”试点工作,将外商投资企业高级管理人员纳为服务对象,“一卡通”持有人可享受医疗、子女教育、住房、社会保障等基本公共服务。(市行政审批局负责)鼓励规划建设廉租房、公租房、人才公寓等配套设施,对外商投资企业高管、研发人员、专业技术人才予以住房激励。(各县区人民政府负责)符合《山西省高端人才分层标准(试行)》(晋组通字〔2018〕18号)的外商投资企业高端人才,可享受《山西省深化人才发展体制机制改革财政支持政策》(晋政办发〔2017〕59号)、《关于加强新形势下引进外国人才工作的实施意见》等文件规定的相关经费资助。(市科技局、市财政局负责)海外高层次留学人才回国后在外资研发机构工作的,可由相关评委会直接认定高级职称。(市人社局负责)支持外商投资企业中方高管人员申办APEC商务旅行卡,加大APEC商务旅行卡等便利措施推广力度,为实施外贸主体培育、国际市场开拓、跨境电子商务跃升、国际自主品牌培育创造有利条件。(市外事办负责)</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四、提升投资保护水平,打造高标准投资环境</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八)保护外商投资合法权益。清理与现行开放政策及《中华人民共和国外商投资法》不符的市政府规章和规范性文件,做好限期废止或修订工作。(市商务局、市发改委、市司法局负责)废除妨碍全国统一市场的规定和做法,各级政府不得限制外商投资企业依法跨区域经营、搬迁、注销等行为。(市行政审批局和各县区人民政府负责)各级政府在招商引资过程中,给予内外资企业公平待遇,严格兑现依法向投资者作出的政策承诺,认真履行依法签订的各类合同。建立完善外商投资企业投诉工作机制,加强纵向联动、横向协作,及时解决外商投资企业反映的不公平待遇问题。(市促投局、市商务局和各县区人民政府负责)</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九)切实加强知识产权保护。严厉打击侵权假冒行为。对外商投资企业反映较多的侵犯商业秘密、侵犯商标专用权和商业标识混淆不正当竞争、专利侵权假冒、网络盗版侵权等知识产权侵权违法行为,要加大惩治力度。(市市场监管局负责)贯彻落实司法主导、严格保护、分类施策、比例协调的知识产权司法保护原则,依法打击知识产权侵权行为。重点利用“4.26世界知识产权日”“5.10中国品牌日”、中国专利周等,广泛开展知识产权保护宣传,营造“尊重知识、崇尚创新”的良好氛围,不断增强全市知识产权保护意识。全市上下联动开展知识产权执法专项行动,严厉打击专利、商标等侵权违法行为,维护知识产权权利人的合法权益。学习江苏法院知识产权审判“三合一”工作经验和做法,在全市两级法院进行知识产权审判“三合一”改革试点工作,制定适用于本市的《推进知识产权审判“三合一”工作的指导意见》。(市中院负责)严格履行我国加入世界贸易组织承诺,外商投资过程中技术合作的条件由投资各方议定,各级政府工作人员不得利用行政手段强制技术转让。(市商务局和各县区人民政府负责)</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五、加强投资促进,提升引资质量和水平</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十)鼓励外资并购投资。根据市场化原则,建立市级并购信息库,引导企业主动参与国际合作。(市发改委、市促投局负责)鼓励市属国有企业引入符合条件的外资参与混合所有制改革。(市国资委负责)进一步提高国有控股上市公司及其国有股权流转的公开透明程度,支持符合条件的外商投资企业公平参与国有企业改组改造、兼并收购。(市国资委和各县区人民政府负责)</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十一)支持外资研发创新。鼓励符合条件的外资研发机构(含企业内设研发机构)参与我市研发公共服务平台建设和政府科技计划项目,并享受相关支持政策。(市科技局、市财政局负责)外商投资企业设立院士工作站、博士后科研流动(工作)站,符合《鼓励建设各类科研技术工作站实施办法(试行)》(晋财教〔2017〕152号)条件的,由市级财政分别补助100万元、20万元。(市人社局、市财政局负责)在加大研发投入、关键技术攻关、科技成果转化、高新技术企业认定、创新平台(重点实验室、工程技术研究中心、临床医学研究中心、产业技术创新战略联盟及试点、科技共享服务平台)建设、科技人才团队创业、知识产权保护及融资等方面,符合条件的外资企业同等享受《山西省支持科技创新的若干政策》(晋政办发〔2017〕148号)规定的优惠政策。(市科技局、市财政局负责)制定市技术改造专项资金支持仿制药一致性评价的奖补政策,对通过一致性评价的品种,给予企业一次性奖励。(市工信局、市市场监管局、市财政局负责)落实外资研发中心、研发费用加计扣除、高新技术企业、技术先进型服务企业等优惠政策。经认定的外资研发中心进口国内不能生产或者性能不能满足需要的科学研究、科技开发用品,免征进口关税和进口环节增值税、消费税。(市税务局、市财政局、大同海关、市商务局负责)</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十二)健全招商引资协作机制。充分发挥各级促进投资机构、招商机构的积极性,将商会、协会、学会等机构的招商引资工作纳入全市招商引资工作体系,建立商会、协会、学会等机构招商引资信息共享机制,加强对商会、协会、学会等机构招商引资工作的组织领导,着重做好商会、协会、学会等机构招商引资重大项目的服务工作,制定招商引资工作奖励政策,充分调动商会、协会、学会等机构招商引资工作的积极性、主动性和创造性。(市促投局和各县区人民政府负责)</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十三)发挥重大招商活动等引资载体作用。精心策划、参加省里组织的能博会、文博会等展会和“投资山西”“跨国公司山西行”等系列招商活动。结合我市产业发展特点和优势,提出参会方案。同时,积极参加国内有影响力的各种促进外资的展会和大型投资活动,瞄准世界500强企业、产业链和价值链中高端企业招商,争取引进一批引领性、突破性的重大外资项目。(市商务局、市发改委、市能源局、市文旅局、市促投局和各县区人民政府负责)</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十四)完善招商引资激励措施。鼓励各级财政提供投资促进资金支持,强化绩效评价,完善激励机制,对在经济社会发展中履行社会责任、促进就业和对当地财政作出突出贡献的外商投资企业及优秀企业家,给予奖励。支持各县(区)在法定权限范围内出台招商引资激励政策,对新招引的重大外资项目的招商引资团队或个人予以表彰奖励。(市促投局、市商务局和各县区人民政府负责)</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六、加快开放平台建设,提升对外开放水平</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十五)加快建设对外开放平台。加快推进大同航空口岸正式开放的验收工作。(市商务局负责)增开国际国内航线和班次。(市交通局负责)推进大同国际陆港建设,发展铁空、铁海等多式联运,开发点对点快运班列,促进降本增效。大力推进大同国际陆港、晋北物流园建设,发展海铁空陆多式联运,有效推动蒙晋冀(乌大张)长城金三角区域合作。(市工信局、市交通局负责)复制推广自由贸易试验区改革试点经验,加快制度创新。(市复制推广自贸试验区改革试点经验责任单位负责)</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七、推动开发区创新提升,强化利用外资重要平台作用</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十六)促进开发区优化外资综合服务。依法授予开发区管理机构必要的行政管理权和经济管理权限,支持开发区稳妥高效行使相关权限,提升综合服务能力。(市商务局和各县区人民政府负责)优化开发区土地存量供给,引进高技术、高附加值外商投资企业和项目。(市规划和自然资源局、市商务局、市发改委负责)支持开发区合作引入国际双元制职业教育机构,增加外商投资企业人力资源有效供给。(市教育局负责)鼓励外资企业参与区中园、一区多园建设运营。支持开发区开展国际合作园区建设,高起点、高标准编制国际合作园区建设规划,推动国际资本、人才、技术等要素向国际产业合作园聚集。(市商务局和各县区人民政府负责)</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十七)健全开发区双向协作引资机制。支持开发区实行市场化运营改革,委托专业公司或专业团队开展招商引资。(市商务局和各县区人民政府负责)制定成本分担和利益分享的产业转移协作优惠政策,通过财政奖励等方式,支持开发区建设产业转移协作平台,鼓励开发区从自身优势出发,主动与东部发达地区建立紧密的战略联盟,通过多种形式重点承接东部发达地区转移产业,同时注重自身优势产业培育,坚持以优势产业为依托,围绕提升产业核心竞争力,形成产业配套,发展产业集群,促进我市资源要素的优化配置,形成优势互补、分工合作竞争力强的新能源产业经济格局,对园区企业的税收和各种规费由合作双方按协议分成,从而实现产业承接的“双赢”。(市商务局、市财政局和各县区人民政府负责)</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各县区、各部门要高度重视积极有效利用外资的重要意义,认真落实“稳外资”工作部署,主动作为,狠抓落实,注重实效,形成合力,确保以上各项措施与已出台的政策有效衔接,切实做好吸引外资工作。市商务局、市发改委要加强督促检查,重大问题及时向市政府报告。</w:t>
      </w:r>
    </w:p>
    <w:p>
      <w:pPr>
        <w:spacing w:line="360" w:lineRule="auto"/>
        <w:ind w:firstLine="560"/>
        <w:jc w:val="right"/>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大同市人民政府</w:t>
      </w:r>
    </w:p>
    <w:p>
      <w:pPr>
        <w:spacing w:line="360" w:lineRule="auto"/>
        <w:ind w:firstLine="560"/>
        <w:jc w:val="right"/>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2020年4月13日</w:t>
      </w:r>
    </w:p>
    <w:p>
      <w:pPr>
        <w:spacing w:line="360" w:lineRule="auto"/>
        <w:ind w:firstLine="56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（此件公开发布）</w:t>
      </w:r>
    </w:p>
    <w:p>
      <w:pPr>
        <w:rPr>
          <w:rFonts w:ascii="仿宋" w:hAnsi="仿宋" w:eastAsia="仿宋" w:cs="黑体"/>
          <w:b/>
          <w:kern w:val="32"/>
          <w:sz w:val="28"/>
          <w:szCs w:val="28"/>
        </w:rPr>
      </w:pPr>
      <w:r>
        <w:rPr>
          <w:rFonts w:ascii="仿宋" w:hAnsi="仿宋" w:eastAsia="仿宋" w:cs="黑体"/>
          <w:bCs/>
          <w:sz w:val="28"/>
          <w:szCs w:val="28"/>
        </w:rPr>
        <w:br w:type="page"/>
      </w:r>
    </w:p>
    <w:p>
      <w:pPr>
        <w:pStyle w:val="4"/>
        <w:spacing w:before="0" w:after="0" w:line="360" w:lineRule="auto"/>
        <w:ind w:firstLine="560"/>
        <w:jc w:val="both"/>
        <w:rPr>
          <w:rFonts w:ascii="仿宋" w:hAnsi="仿宋" w:eastAsia="仿宋" w:cs="华文仿宋"/>
          <w:kern w:val="0"/>
          <w:sz w:val="28"/>
          <w:szCs w:val="28"/>
          <w:lang w:eastAsia="zh-CN"/>
        </w:rPr>
      </w:pPr>
      <w:bookmarkStart w:id="36" w:name="_Toc66798321"/>
      <w:r>
        <w:rPr>
          <w:rFonts w:hint="eastAsia" w:ascii="仿宋" w:hAnsi="仿宋" w:eastAsia="仿宋" w:cs="黑体"/>
          <w:bCs w:val="0"/>
          <w:sz w:val="28"/>
          <w:szCs w:val="28"/>
        </w:rPr>
        <w:t>7</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特色创新</w:t>
      </w:r>
      <w:bookmarkEnd w:id="36"/>
    </w:p>
    <w:p>
      <w:pPr>
        <w:pStyle w:val="4"/>
        <w:spacing w:line="360" w:lineRule="auto"/>
        <w:rPr>
          <w:rFonts w:ascii="仿宋" w:hAnsi="仿宋" w:eastAsia="仿宋"/>
          <w:b w:val="0"/>
          <w:bCs w:val="0"/>
          <w:sz w:val="28"/>
          <w:szCs w:val="28"/>
          <w:lang w:val="uk-UA"/>
        </w:rPr>
      </w:pPr>
      <w:bookmarkStart w:id="37" w:name="_Toc66798322"/>
      <w:r>
        <w:rPr>
          <w:rFonts w:hint="eastAsia" w:ascii="仿宋" w:hAnsi="仿宋" w:eastAsia="仿宋"/>
          <w:b w:val="0"/>
          <w:bCs w:val="0"/>
          <w:sz w:val="28"/>
          <w:szCs w:val="28"/>
          <w:lang w:eastAsia="zh-CN"/>
        </w:rPr>
        <w:t>7</w:t>
      </w:r>
      <w:r>
        <w:rPr>
          <w:rFonts w:ascii="仿宋" w:hAnsi="仿宋" w:eastAsia="仿宋"/>
          <w:b w:val="0"/>
          <w:bCs w:val="0"/>
          <w:sz w:val="28"/>
          <w:szCs w:val="28"/>
          <w:lang w:eastAsia="zh-CN"/>
        </w:rPr>
        <w:t>.1</w:t>
      </w:r>
      <w:r>
        <w:rPr>
          <w:rFonts w:hint="eastAsia" w:ascii="仿宋" w:hAnsi="仿宋" w:eastAsia="仿宋"/>
          <w:b w:val="0"/>
          <w:bCs w:val="0"/>
          <w:sz w:val="28"/>
          <w:szCs w:val="28"/>
          <w:lang w:eastAsia="zh-CN"/>
        </w:rPr>
        <w:t>【案例分享</w:t>
      </w:r>
      <w:r>
        <w:rPr>
          <w:rFonts w:ascii="仿宋" w:hAnsi="仿宋" w:eastAsia="仿宋"/>
          <w:b w:val="0"/>
          <w:bCs w:val="0"/>
          <w:sz w:val="28"/>
          <w:szCs w:val="28"/>
          <w:lang w:eastAsia="zh-CN"/>
        </w:rPr>
        <w:t>1</w:t>
      </w:r>
      <w:r>
        <w:rPr>
          <w:rFonts w:hint="eastAsia" w:ascii="仿宋" w:hAnsi="仿宋" w:eastAsia="仿宋"/>
          <w:b w:val="0"/>
          <w:bCs w:val="0"/>
          <w:sz w:val="28"/>
          <w:szCs w:val="28"/>
          <w:lang w:eastAsia="zh-CN"/>
        </w:rPr>
        <w:t>】</w:t>
      </w:r>
      <w:r>
        <w:rPr>
          <w:rFonts w:hint="eastAsia" w:ascii="仿宋" w:hAnsi="仿宋" w:eastAsia="仿宋" w:cs="Times New Roman"/>
          <w:b w:val="0"/>
          <w:bCs w:val="0"/>
          <w:sz w:val="28"/>
          <w:szCs w:val="28"/>
          <w:shd w:val="clear" w:color="auto" w:fill="FFFFFF"/>
          <w:lang w:bidi="ar"/>
        </w:rPr>
        <w:t>大同</w:t>
      </w:r>
      <w:r>
        <w:rPr>
          <w:rFonts w:hint="eastAsia" w:ascii="仿宋" w:hAnsi="仿宋" w:eastAsia="仿宋" w:cs="Times New Roman"/>
          <w:b w:val="0"/>
          <w:bCs w:val="0"/>
          <w:sz w:val="28"/>
          <w:szCs w:val="28"/>
          <w:shd w:val="clear" w:color="auto" w:fill="FFFFFF"/>
          <w:lang w:eastAsia="zh-CN" w:bidi="ar"/>
        </w:rPr>
        <w:t>市卫生学校</w:t>
      </w:r>
      <w:bookmarkEnd w:id="37"/>
    </w:p>
    <w:p>
      <w:pPr>
        <w:spacing w:line="360" w:lineRule="auto"/>
        <w:ind w:firstLine="562" w:firstLineChars="200"/>
        <w:jc w:val="center"/>
        <w:rPr>
          <w:rFonts w:ascii="仿宋" w:hAnsi="仿宋" w:eastAsia="仿宋" w:cs="华文仿宋"/>
          <w:sz w:val="28"/>
          <w:szCs w:val="28"/>
        </w:rPr>
      </w:pPr>
      <w:r>
        <w:rPr>
          <w:rFonts w:hint="eastAsia" w:ascii="仿宋" w:hAnsi="仿宋" w:eastAsia="仿宋" w:cs="华文仿宋"/>
          <w:b/>
          <w:bCs/>
          <w:sz w:val="28"/>
          <w:szCs w:val="28"/>
        </w:rPr>
        <w:t>从“大同蓝”城市名片到敬老孝亲的“大</w:t>
      </w:r>
      <w:r>
        <w:rPr>
          <w:rFonts w:ascii="Courier New" w:hAnsi="Courier New" w:eastAsia="仿宋" w:cs="Courier New"/>
          <w:sz w:val="28"/>
          <w:szCs w:val="28"/>
        </w:rPr>
        <w:t>·</w:t>
      </w:r>
      <w:r>
        <w:rPr>
          <w:rFonts w:hint="eastAsia" w:ascii="仿宋" w:hAnsi="仿宋" w:eastAsia="仿宋" w:cs="华文仿宋"/>
          <w:b/>
          <w:bCs/>
          <w:sz w:val="28"/>
          <w:szCs w:val="28"/>
        </w:rPr>
        <w:t>同”精神</w:t>
      </w:r>
    </w:p>
    <w:p>
      <w:pPr>
        <w:spacing w:line="360" w:lineRule="auto"/>
        <w:ind w:firstLine="562" w:firstLineChars="200"/>
        <w:rPr>
          <w:rFonts w:ascii="仿宋" w:hAnsi="仿宋" w:eastAsia="仿宋" w:cs="华文仿宋"/>
          <w:sz w:val="28"/>
          <w:szCs w:val="28"/>
        </w:rPr>
      </w:pPr>
      <w:r>
        <w:rPr>
          <w:rFonts w:hint="eastAsia" w:ascii="仿宋" w:hAnsi="仿宋" w:eastAsia="仿宋" w:cs="华文仿宋"/>
          <w:b/>
          <w:bCs/>
          <w:sz w:val="28"/>
          <w:szCs w:val="28"/>
          <w:lang w:eastAsia="zh-CN"/>
        </w:rPr>
        <w:t>1.</w:t>
      </w:r>
      <w:r>
        <w:rPr>
          <w:rFonts w:hint="eastAsia" w:ascii="仿宋" w:hAnsi="仿宋" w:eastAsia="仿宋" w:cs="华文仿宋"/>
          <w:b/>
          <w:bCs/>
          <w:sz w:val="28"/>
          <w:szCs w:val="28"/>
        </w:rPr>
        <w:t>实施背景</w:t>
      </w:r>
      <w:r>
        <w:rPr>
          <w:rFonts w:ascii="仿宋" w:hAnsi="仿宋" w:eastAsia="仿宋"/>
        </w:rPr>
        <w:drawing>
          <wp:anchor distT="0" distB="0" distL="114300" distR="114300" simplePos="0" relativeHeight="251659264" behindDoc="0" locked="0" layoutInCell="1" allowOverlap="1">
            <wp:simplePos x="0" y="0"/>
            <wp:positionH relativeFrom="column">
              <wp:posOffset>276225</wp:posOffset>
            </wp:positionH>
            <wp:positionV relativeFrom="paragraph">
              <wp:posOffset>58420</wp:posOffset>
            </wp:positionV>
            <wp:extent cx="4933950" cy="1614805"/>
            <wp:effectExtent l="12700" t="12700" r="25400" b="29845"/>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6"/>
                    <a:srcRect t="13060" r="25497"/>
                    <a:stretch>
                      <a:fillRect/>
                    </a:stretch>
                  </pic:blipFill>
                  <pic:spPr>
                    <a:xfrm>
                      <a:off x="0" y="0"/>
                      <a:ext cx="4933950" cy="1614805"/>
                    </a:xfrm>
                    <a:prstGeom prst="rect">
                      <a:avLst/>
                    </a:prstGeom>
                    <a:noFill/>
                    <a:ln w="12700" cap="flat" cmpd="sng">
                      <a:solidFill>
                        <a:srgbClr val="7030A0"/>
                      </a:solidFill>
                      <a:prstDash val="solid"/>
                      <a:miter/>
                      <a:headEnd type="none" w="med" len="med"/>
                      <a:tailEnd type="none" w="med" len="med"/>
                    </a:ln>
                  </pic:spPr>
                </pic:pic>
              </a:graphicData>
            </a:graphic>
          </wp:anchor>
        </w:drawing>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rPr>
        <w:t>我校立足大同市城市经济建设需求，立足学校职业文化特色，立足学生长远健康发展，2018年在山西省中等职业教育改革发展示范学校建设中提出了红、绿、蓝、白“四色文化”特色项目建设理念并着手实施、践行。其中，蓝色文化灵感来源于我市的城市名片“大同蓝”，从环境保护理念的深入，到敬老孝亲传统文化的秉承，蓝色从物质环境干净、天空的蔚蓝延展到精神领域的纯净、情怀的博大。从“大同蓝”城市名片到敬老孝亲的“大</w:t>
      </w:r>
      <w:r>
        <w:rPr>
          <w:rFonts w:ascii="Courier New" w:hAnsi="Courier New" w:eastAsia="仿宋" w:cs="Courier New"/>
          <w:sz w:val="28"/>
          <w:szCs w:val="28"/>
        </w:rPr>
        <w:t>·</w:t>
      </w:r>
      <w:r>
        <w:rPr>
          <w:rFonts w:hint="eastAsia" w:ascii="仿宋" w:hAnsi="仿宋" w:eastAsia="仿宋" w:cs="华文仿宋"/>
          <w:sz w:val="28"/>
          <w:szCs w:val="28"/>
        </w:rPr>
        <w:t>同”精神，这是一种城市文明的传承与拓展，更是一种地域文化与校园文化、行业文化的契合。最终使蓝色文化“百善孝为先、行善先敬老”理念与白色文化“爱岗敬业、济世为怀”理念实现无缝联合、完美对接。</w:t>
      </w:r>
    </w:p>
    <w:p>
      <w:pPr>
        <w:spacing w:line="360" w:lineRule="auto"/>
        <w:ind w:firstLine="562" w:firstLineChars="200"/>
        <w:rPr>
          <w:rFonts w:ascii="仿宋" w:hAnsi="仿宋" w:eastAsia="仿宋" w:cs="华文仿宋"/>
          <w:sz w:val="28"/>
          <w:szCs w:val="28"/>
        </w:rPr>
      </w:pPr>
      <w:r>
        <w:rPr>
          <w:rFonts w:hint="eastAsia" w:ascii="仿宋" w:hAnsi="仿宋" w:eastAsia="仿宋" w:cs="华文仿宋"/>
          <w:b/>
          <w:bCs/>
          <w:sz w:val="28"/>
          <w:szCs w:val="28"/>
          <w:lang w:eastAsia="zh-CN"/>
        </w:rPr>
        <w:t>2</w:t>
      </w:r>
      <w:r>
        <w:rPr>
          <w:rFonts w:hint="eastAsia" w:ascii="仿宋" w:hAnsi="仿宋" w:eastAsia="仿宋" w:cs="华文仿宋"/>
          <w:b/>
          <w:bCs/>
          <w:sz w:val="28"/>
          <w:szCs w:val="28"/>
        </w:rPr>
        <w:t>主要目标</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lang w:eastAsia="zh-CN"/>
        </w:rPr>
        <w:t>1.</w:t>
      </w:r>
      <w:r>
        <w:rPr>
          <w:rFonts w:hint="eastAsia" w:ascii="仿宋" w:hAnsi="仿宋" w:eastAsia="仿宋" w:cs="华文仿宋"/>
          <w:sz w:val="28"/>
          <w:szCs w:val="28"/>
        </w:rPr>
        <w:t>坚持以“立德树人”为总目标，引导学生完成“孝亲——敬老——博爱”的情感提升，从而助力学生实现“孝敬自己父母——服务所有老人——医者同济天下”的角色转变。</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lang w:eastAsia="zh-CN"/>
        </w:rPr>
        <w:t>2.</w:t>
      </w:r>
      <w:r>
        <w:rPr>
          <w:rFonts w:hint="eastAsia" w:ascii="仿宋" w:hAnsi="仿宋" w:eastAsia="仿宋" w:cs="华文仿宋"/>
          <w:sz w:val="28"/>
          <w:szCs w:val="28"/>
        </w:rPr>
        <w:t>加强思政课程与课程思政建设，发挥德育主阵地作用，以思政课程建设为先导，加大语文、体育和信息技术课程的思政元素拓展力度，在课程建设中将尽孝与“大同”城市文化理念有机融合。</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lang w:eastAsia="zh-CN"/>
        </w:rPr>
        <w:t>3.</w:t>
      </w:r>
      <w:r>
        <w:rPr>
          <w:rFonts w:hint="eastAsia" w:ascii="仿宋" w:hAnsi="仿宋" w:eastAsia="仿宋" w:cs="华文仿宋"/>
          <w:sz w:val="28"/>
          <w:szCs w:val="28"/>
        </w:rPr>
        <w:t>创新德育工作模式，除了传统课堂、社团活动第一、第二课堂，强化网络空间第三课堂育人功效，使得学生通过参与建设信息化水平和能力得到提升。</w:t>
      </w:r>
    </w:p>
    <w:p>
      <w:pPr>
        <w:spacing w:line="360" w:lineRule="auto"/>
        <w:ind w:firstLine="562" w:firstLineChars="200"/>
        <w:rPr>
          <w:rFonts w:ascii="仿宋" w:hAnsi="仿宋" w:eastAsia="仿宋" w:cs="华文仿宋"/>
          <w:b/>
          <w:bCs/>
          <w:sz w:val="28"/>
          <w:szCs w:val="28"/>
        </w:rPr>
      </w:pPr>
      <w:r>
        <w:rPr>
          <w:rFonts w:hint="eastAsia" w:ascii="仿宋" w:hAnsi="仿宋" w:eastAsia="仿宋" w:cs="华文仿宋"/>
          <w:b/>
          <w:bCs/>
          <w:sz w:val="28"/>
          <w:szCs w:val="28"/>
          <w:lang w:eastAsia="zh-CN"/>
        </w:rPr>
        <w:t>3</w:t>
      </w:r>
      <w:r>
        <w:rPr>
          <w:rFonts w:hint="eastAsia" w:ascii="仿宋" w:hAnsi="仿宋" w:eastAsia="仿宋" w:cs="华文仿宋"/>
          <w:b/>
          <w:bCs/>
          <w:sz w:val="28"/>
          <w:szCs w:val="28"/>
        </w:rPr>
        <w:t>建设内容与主要做法</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rPr>
        <w:t>蓝色文化之敬老孝亲建设根据我校“整体规划、分步实施、全员共建、综合评价”的“全域”育人设计步骤，坚持全员、全过程、全方位（教书育人、文化育人、环境育人、管理育人、活动育人）的整体育人模式，确立学校、家庭、社会皆孝道平台的大孝道理念。</w:t>
      </w:r>
    </w:p>
    <w:p>
      <w:pPr>
        <w:spacing w:line="360" w:lineRule="auto"/>
        <w:ind w:firstLine="562" w:firstLineChars="200"/>
        <w:rPr>
          <w:rFonts w:ascii="仿宋" w:hAnsi="仿宋" w:eastAsia="仿宋" w:cs="华文仿宋"/>
          <w:b/>
          <w:bCs/>
          <w:sz w:val="28"/>
          <w:szCs w:val="28"/>
        </w:rPr>
      </w:pPr>
      <w:r>
        <w:rPr>
          <w:rFonts w:hint="eastAsia" w:ascii="仿宋" w:hAnsi="仿宋" w:eastAsia="仿宋" w:cs="华文仿宋"/>
          <w:b/>
          <w:bCs/>
          <w:sz w:val="28"/>
          <w:szCs w:val="28"/>
          <w:lang w:eastAsia="zh-CN"/>
        </w:rPr>
        <w:t>3.1</w:t>
      </w:r>
      <w:r>
        <w:rPr>
          <w:rFonts w:hint="eastAsia" w:ascii="仿宋" w:hAnsi="仿宋" w:eastAsia="仿宋" w:cs="华文仿宋"/>
          <w:b/>
          <w:bCs/>
          <w:sz w:val="28"/>
          <w:szCs w:val="28"/>
        </w:rPr>
        <w:t>文化育人</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rPr>
        <w:t>立足城市文化建设，深刻理解“大同”的内涵。</w:t>
      </w:r>
    </w:p>
    <w:p>
      <w:pPr>
        <w:overflowPunct w:val="0"/>
        <w:autoSpaceDE w:val="0"/>
        <w:autoSpaceDN w:val="0"/>
        <w:adjustRightInd w:val="0"/>
        <w:spacing w:line="360" w:lineRule="auto"/>
        <w:ind w:firstLine="560" w:firstLineChars="200"/>
        <w:textAlignment w:val="baseline"/>
        <w:rPr>
          <w:rFonts w:ascii="仿宋" w:hAnsi="仿宋" w:eastAsia="仿宋" w:cs="华文仿宋"/>
          <w:sz w:val="28"/>
          <w:szCs w:val="28"/>
        </w:rPr>
      </w:pPr>
      <w:r>
        <w:rPr>
          <w:rFonts w:hint="eastAsia" w:ascii="仿宋" w:hAnsi="仿宋" w:eastAsia="仿宋" w:cs="华文仿宋"/>
          <w:sz w:val="28"/>
          <w:szCs w:val="28"/>
          <w:lang w:eastAsia="zh-CN"/>
        </w:rPr>
        <w:t>1.</w:t>
      </w:r>
      <w:r>
        <w:rPr>
          <w:rFonts w:hint="eastAsia" w:ascii="仿宋" w:hAnsi="仿宋" w:eastAsia="仿宋" w:cs="华文仿宋"/>
          <w:sz w:val="28"/>
          <w:szCs w:val="28"/>
        </w:rPr>
        <w:t>基础资料准备：由政治教研组搜集整理有关于“大同世界”的基础资料，通过微信群转发至语文组、体育组和学生处班主任、驻校教官。包括《礼运</w:t>
      </w:r>
      <w:r>
        <w:rPr>
          <w:rFonts w:ascii="Courier New" w:hAnsi="Courier New" w:eastAsia="仿宋" w:cs="Courier New"/>
          <w:sz w:val="28"/>
          <w:szCs w:val="28"/>
        </w:rPr>
        <w:t>·</w:t>
      </w:r>
      <w:r>
        <w:rPr>
          <w:rFonts w:hint="eastAsia" w:ascii="仿宋" w:hAnsi="仿宋" w:eastAsia="仿宋" w:cs="华文仿宋"/>
          <w:sz w:val="28"/>
          <w:szCs w:val="28"/>
        </w:rPr>
        <w:t>大同篇》解读；费孝通：各美其美、美人之美、美美与共、天下大同；孟子“老吾老，以及人之老”，使得一脉相承的文化积淀用书墨文字呈现出来，为语文组、体育组手语操的推展提供了方向性的引导，学生处敬老孝亲活动得以顺利开展。</w:t>
      </w:r>
    </w:p>
    <w:p>
      <w:pPr>
        <w:overflowPunct w:val="0"/>
        <w:autoSpaceDE w:val="0"/>
        <w:autoSpaceDN w:val="0"/>
        <w:adjustRightInd w:val="0"/>
        <w:spacing w:line="360" w:lineRule="auto"/>
        <w:ind w:firstLine="560" w:firstLineChars="200"/>
        <w:textAlignment w:val="baseline"/>
        <w:rPr>
          <w:rFonts w:ascii="仿宋" w:hAnsi="仿宋" w:eastAsia="仿宋" w:cs="华文仿宋"/>
          <w:sz w:val="28"/>
          <w:szCs w:val="28"/>
        </w:rPr>
      </w:pPr>
      <w:r>
        <w:rPr>
          <w:rFonts w:hint="eastAsia" w:ascii="仿宋" w:hAnsi="仿宋" w:eastAsia="仿宋" w:cs="华文仿宋"/>
          <w:sz w:val="28"/>
          <w:szCs w:val="28"/>
          <w:lang w:eastAsia="zh-CN"/>
        </w:rPr>
        <w:t>2.</w:t>
      </w:r>
      <w:r>
        <w:rPr>
          <w:rFonts w:hint="eastAsia" w:ascii="仿宋" w:hAnsi="仿宋" w:eastAsia="仿宋" w:cs="华文仿宋"/>
          <w:sz w:val="28"/>
          <w:szCs w:val="28"/>
        </w:rPr>
        <w:t>将城市文化与学校核心文化理念融合：结合我校校训、校风、教风、学风内涵，将大同城市建设与我校行业建设、专业建设有机结合。由政治教研组搜集整理耿彦波《大同赋》，诠释校训、校风、教风、学风中的“大</w:t>
      </w:r>
      <w:r>
        <w:rPr>
          <w:rFonts w:ascii="Segoe UI Emoji" w:hAnsi="Segoe UI Emoji" w:eastAsia="仿宋" w:cs="Segoe UI Emoji"/>
          <w:sz w:val="28"/>
          <w:szCs w:val="28"/>
        </w:rPr>
        <w:t>▪</w:t>
      </w:r>
      <w:r>
        <w:rPr>
          <w:rFonts w:hint="eastAsia" w:ascii="仿宋" w:hAnsi="仿宋" w:eastAsia="仿宋" w:cs="仿宋"/>
          <w:sz w:val="28"/>
          <w:szCs w:val="28"/>
        </w:rPr>
        <w:t>同</w:t>
      </w:r>
      <w:r>
        <w:rPr>
          <w:rFonts w:hint="eastAsia" w:ascii="仿宋" w:hAnsi="仿宋" w:eastAsia="仿宋" w:cs="华文仿宋"/>
          <w:sz w:val="28"/>
          <w:szCs w:val="28"/>
        </w:rPr>
        <w:t>”精神，为蓝色文化的“孝道”文化向白色文化的“老吾老以及人之老”的“天下大同”奠定文化引领基础。</w:t>
      </w:r>
    </w:p>
    <w:p>
      <w:pPr>
        <w:overflowPunct w:val="0"/>
        <w:autoSpaceDE w:val="0"/>
        <w:autoSpaceDN w:val="0"/>
        <w:adjustRightInd w:val="0"/>
        <w:spacing w:line="360" w:lineRule="auto"/>
        <w:ind w:firstLine="562" w:firstLineChars="200"/>
        <w:textAlignment w:val="baseline"/>
        <w:rPr>
          <w:rFonts w:ascii="仿宋" w:hAnsi="仿宋" w:eastAsia="仿宋" w:cs="华文仿宋"/>
          <w:sz w:val="28"/>
          <w:szCs w:val="28"/>
        </w:rPr>
      </w:pPr>
      <w:r>
        <w:rPr>
          <w:rFonts w:hint="eastAsia" w:ascii="仿宋" w:hAnsi="仿宋" w:eastAsia="仿宋" w:cs="华文仿宋"/>
          <w:b/>
          <w:bCs/>
          <w:sz w:val="28"/>
          <w:szCs w:val="28"/>
          <w:lang w:eastAsia="zh-CN"/>
        </w:rPr>
        <w:t>3.2</w:t>
      </w:r>
      <w:r>
        <w:rPr>
          <w:rFonts w:hint="eastAsia" w:ascii="仿宋" w:hAnsi="仿宋" w:eastAsia="仿宋" w:cs="华文仿宋"/>
          <w:b/>
          <w:bCs/>
          <w:sz w:val="28"/>
          <w:szCs w:val="28"/>
        </w:rPr>
        <w:t>教书育人</w:t>
      </w:r>
    </w:p>
    <w:p>
      <w:pPr>
        <w:overflowPunct w:val="0"/>
        <w:autoSpaceDE w:val="0"/>
        <w:autoSpaceDN w:val="0"/>
        <w:adjustRightInd w:val="0"/>
        <w:spacing w:line="360" w:lineRule="auto"/>
        <w:ind w:firstLine="560" w:firstLineChars="200"/>
        <w:textAlignment w:val="baseline"/>
        <w:rPr>
          <w:rFonts w:ascii="仿宋" w:hAnsi="仿宋" w:eastAsia="仿宋" w:cs="华文仿宋"/>
          <w:sz w:val="28"/>
          <w:szCs w:val="28"/>
        </w:rPr>
      </w:pPr>
      <w:r>
        <w:rPr>
          <w:rFonts w:hint="eastAsia" w:ascii="仿宋" w:hAnsi="仿宋" w:eastAsia="仿宋" w:cs="华文仿宋"/>
          <w:sz w:val="28"/>
          <w:szCs w:val="28"/>
        </w:rPr>
        <w:t xml:space="preserve">立足课程建设，培养学生敬老爱老意识和无私奉献的博大情怀。 </w:t>
      </w:r>
    </w:p>
    <w:p>
      <w:pPr>
        <w:overflowPunct w:val="0"/>
        <w:autoSpaceDE w:val="0"/>
        <w:autoSpaceDN w:val="0"/>
        <w:adjustRightInd w:val="0"/>
        <w:spacing w:line="360" w:lineRule="auto"/>
        <w:ind w:firstLine="560" w:firstLineChars="200"/>
        <w:textAlignment w:val="baseline"/>
        <w:rPr>
          <w:rFonts w:ascii="仿宋" w:hAnsi="仿宋" w:eastAsia="仿宋" w:cs="华文仿宋"/>
          <w:sz w:val="28"/>
          <w:szCs w:val="28"/>
        </w:rPr>
      </w:pPr>
      <w:r>
        <w:rPr>
          <w:rFonts w:hint="eastAsia" w:ascii="仿宋" w:hAnsi="仿宋" w:eastAsia="仿宋" w:cs="华文仿宋"/>
          <w:sz w:val="28"/>
          <w:szCs w:val="28"/>
          <w:lang w:eastAsia="zh-CN"/>
        </w:rPr>
        <w:t>1.</w:t>
      </w:r>
      <w:r>
        <w:rPr>
          <w:rFonts w:hint="eastAsia" w:ascii="仿宋" w:hAnsi="仿宋" w:eastAsia="仿宋" w:cs="华文仿宋"/>
          <w:sz w:val="28"/>
          <w:szCs w:val="28"/>
        </w:rPr>
        <w:t>思政课程建设：在讲解家庭道德时穿插《弟子规》，解读孝道，</w:t>
      </w:r>
      <w:r>
        <w:rPr>
          <w:rFonts w:hint="eastAsia" w:ascii="仿宋" w:hAnsi="仿宋" w:eastAsia="仿宋" w:cs="华文仿宋"/>
          <w:w w:val="97"/>
          <w:sz w:val="28"/>
          <w:szCs w:val="28"/>
        </w:rPr>
        <w:t>将中华传统文化与课程教授相结合，既传承历史文化，又融入时代特色。</w:t>
      </w:r>
    </w:p>
    <w:p>
      <w:pPr>
        <w:overflowPunct w:val="0"/>
        <w:autoSpaceDE w:val="0"/>
        <w:autoSpaceDN w:val="0"/>
        <w:adjustRightInd w:val="0"/>
        <w:spacing w:line="360" w:lineRule="auto"/>
        <w:ind w:firstLine="560" w:firstLineChars="200"/>
        <w:textAlignment w:val="baseline"/>
        <w:rPr>
          <w:rFonts w:ascii="仿宋" w:hAnsi="仿宋" w:eastAsia="仿宋" w:cs="华文仿宋"/>
          <w:sz w:val="28"/>
          <w:szCs w:val="28"/>
        </w:rPr>
      </w:pPr>
      <w:r>
        <w:rPr>
          <w:rFonts w:hint="eastAsia" w:ascii="仿宋" w:hAnsi="仿宋" w:eastAsia="仿宋" w:cs="华文仿宋"/>
          <w:sz w:val="28"/>
          <w:szCs w:val="28"/>
          <w:lang w:eastAsia="zh-CN"/>
        </w:rPr>
        <w:t>2.</w:t>
      </w:r>
      <w:r>
        <w:rPr>
          <w:rFonts w:hint="eastAsia" w:ascii="仿宋" w:hAnsi="仿宋" w:eastAsia="仿宋" w:cs="华文仿宋"/>
          <w:sz w:val="28"/>
          <w:szCs w:val="28"/>
        </w:rPr>
        <w:t>语文课程拓展：《礼运</w:t>
      </w:r>
      <w:r>
        <w:rPr>
          <w:rFonts w:ascii="Courier New" w:hAnsi="Courier New" w:eastAsia="仿宋" w:cs="Courier New"/>
          <w:sz w:val="28"/>
          <w:szCs w:val="28"/>
        </w:rPr>
        <w:t>·</w:t>
      </w:r>
      <w:r>
        <w:rPr>
          <w:rFonts w:hint="eastAsia" w:ascii="仿宋" w:hAnsi="仿宋" w:eastAsia="仿宋" w:cs="华文仿宋"/>
          <w:sz w:val="28"/>
          <w:szCs w:val="28"/>
        </w:rPr>
        <w:t>大同篇》解读与讲授，为学生学习手语操打下基础，在做手语操时更深刻领悟“大同世界”的精髓。</w:t>
      </w:r>
    </w:p>
    <w:p>
      <w:pPr>
        <w:overflowPunct w:val="0"/>
        <w:autoSpaceDE w:val="0"/>
        <w:autoSpaceDN w:val="0"/>
        <w:adjustRightInd w:val="0"/>
        <w:spacing w:line="360" w:lineRule="auto"/>
        <w:ind w:firstLine="560" w:firstLineChars="200"/>
        <w:textAlignment w:val="baseline"/>
        <w:rPr>
          <w:rFonts w:ascii="仿宋" w:hAnsi="仿宋" w:eastAsia="仿宋" w:cs="华文仿宋"/>
          <w:sz w:val="28"/>
          <w:szCs w:val="28"/>
        </w:rPr>
      </w:pPr>
      <w:r>
        <w:rPr>
          <w:rFonts w:hint="eastAsia" w:ascii="仿宋" w:hAnsi="仿宋" w:eastAsia="仿宋" w:cs="华文仿宋"/>
          <w:sz w:val="28"/>
          <w:szCs w:val="28"/>
          <w:lang w:eastAsia="zh-CN"/>
        </w:rPr>
        <w:t>3.</w:t>
      </w:r>
      <w:r>
        <w:rPr>
          <w:rFonts w:hint="eastAsia" w:ascii="仿宋" w:hAnsi="仿宋" w:eastAsia="仿宋" w:cs="华文仿宋"/>
          <w:sz w:val="28"/>
          <w:szCs w:val="28"/>
        </w:rPr>
        <w:t>体育课程拓展：在体育课上进行为期半个月的《礼运</w:t>
      </w:r>
      <w:r>
        <w:rPr>
          <w:rFonts w:ascii="Courier New" w:hAnsi="Courier New" w:eastAsia="仿宋" w:cs="Courier New"/>
          <w:sz w:val="28"/>
          <w:szCs w:val="28"/>
        </w:rPr>
        <w:t>·</w:t>
      </w:r>
      <w:r>
        <w:rPr>
          <w:rFonts w:hint="eastAsia" w:ascii="仿宋" w:hAnsi="仿宋" w:eastAsia="仿宋" w:cs="华文仿宋"/>
          <w:sz w:val="28"/>
          <w:szCs w:val="28"/>
        </w:rPr>
        <w:t>大同篇》手语舞教授，利用课间操由体育老师教授学生手语操。</w:t>
      </w:r>
    </w:p>
    <w:p>
      <w:pPr>
        <w:overflowPunct w:val="0"/>
        <w:autoSpaceDE w:val="0"/>
        <w:autoSpaceDN w:val="0"/>
        <w:adjustRightInd w:val="0"/>
        <w:spacing w:line="360" w:lineRule="auto"/>
        <w:ind w:firstLine="562" w:firstLineChars="200"/>
        <w:textAlignment w:val="baseline"/>
        <w:rPr>
          <w:rFonts w:ascii="仿宋" w:hAnsi="仿宋" w:eastAsia="仿宋" w:cs="华文仿宋"/>
          <w:b/>
          <w:bCs/>
          <w:sz w:val="28"/>
          <w:szCs w:val="28"/>
        </w:rPr>
      </w:pPr>
      <w:r>
        <w:rPr>
          <w:rFonts w:hint="eastAsia" w:ascii="仿宋" w:hAnsi="仿宋" w:eastAsia="仿宋" w:cs="华文仿宋"/>
          <w:b/>
          <w:bCs/>
          <w:sz w:val="28"/>
          <w:szCs w:val="28"/>
          <w:lang w:eastAsia="zh-CN"/>
        </w:rPr>
        <w:t>3.3</w:t>
      </w:r>
      <w:r>
        <w:rPr>
          <w:rFonts w:hint="eastAsia" w:ascii="仿宋" w:hAnsi="仿宋" w:eastAsia="仿宋" w:cs="华文仿宋"/>
          <w:b/>
          <w:bCs/>
          <w:sz w:val="28"/>
          <w:szCs w:val="28"/>
        </w:rPr>
        <w:t>环境育人</w:t>
      </w:r>
    </w:p>
    <w:p>
      <w:pPr>
        <w:overflowPunct w:val="0"/>
        <w:autoSpaceDE w:val="0"/>
        <w:autoSpaceDN w:val="0"/>
        <w:adjustRightInd w:val="0"/>
        <w:spacing w:line="360" w:lineRule="auto"/>
        <w:ind w:firstLine="560" w:firstLineChars="200"/>
        <w:textAlignment w:val="baseline"/>
        <w:rPr>
          <w:rFonts w:ascii="仿宋" w:hAnsi="仿宋" w:eastAsia="仿宋" w:cs="华文仿宋"/>
          <w:sz w:val="28"/>
          <w:szCs w:val="28"/>
        </w:rPr>
      </w:pPr>
      <w:r>
        <w:rPr>
          <w:rFonts w:hint="eastAsia" w:ascii="仿宋" w:hAnsi="仿宋" w:eastAsia="仿宋" w:cs="华文仿宋"/>
          <w:sz w:val="28"/>
          <w:szCs w:val="28"/>
        </w:rPr>
        <w:t>发挥环境育人积极作用，引导学生树立城市自信、学校自信，完成从孝敬父母到服务老人、关注康养的角色演变、情感提升。</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lang w:eastAsia="zh-CN"/>
        </w:rPr>
        <w:t>1.</w:t>
      </w:r>
      <w:r>
        <w:rPr>
          <w:rFonts w:hint="eastAsia" w:ascii="仿宋" w:hAnsi="仿宋" w:eastAsia="仿宋" w:cs="华文仿宋"/>
          <w:sz w:val="28"/>
          <w:szCs w:val="28"/>
        </w:rPr>
        <w:t>通过信息技术课程建设，让学生领悟“大同蓝”的蓝天白云的美丽，增强城市自信，为下一步学生自制“大同蓝”---“卫校蓝”小视频增加自我教育的代入感。学生从自制环境美视频逐渐发展到自制敬老孝亲视频，“大同蓝”不仅仅展示的是环境的干干净净，更是“心灵蓝”，是对父母和老师的感恩，是对天下所有“鳏寡孤独废疾者”的关爱之情。</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lang w:eastAsia="zh-CN"/>
        </w:rPr>
        <w:t>2.</w:t>
      </w:r>
      <w:r>
        <w:rPr>
          <w:rFonts w:hint="eastAsia" w:ascii="仿宋" w:hAnsi="仿宋" w:eastAsia="仿宋" w:cs="华文仿宋"/>
          <w:sz w:val="28"/>
          <w:szCs w:val="28"/>
        </w:rPr>
        <w:t>通过思政课堂发起入校伊始对校园环境的感悟，让一年级学生漫步校园，对校门口矗立的石碑“大医精诚 同济天下”进行解读，在回顾华佗、张仲景等医学历史故事的同时，明白了校训的真正含义，那就是要做集医德与医技于一身的新时代医护人才，引导学生初步树立了为康养事业奉献的人生信念。</w:t>
      </w:r>
    </w:p>
    <w:p>
      <w:pPr>
        <w:spacing w:line="360" w:lineRule="auto"/>
        <w:ind w:firstLine="562" w:firstLineChars="200"/>
        <w:rPr>
          <w:rFonts w:ascii="仿宋" w:hAnsi="仿宋" w:eastAsia="仿宋" w:cs="华文仿宋"/>
          <w:b/>
          <w:bCs/>
          <w:sz w:val="28"/>
          <w:szCs w:val="28"/>
        </w:rPr>
      </w:pPr>
      <w:r>
        <w:rPr>
          <w:rFonts w:hint="eastAsia" w:ascii="仿宋" w:hAnsi="仿宋" w:eastAsia="仿宋" w:cs="华文仿宋"/>
          <w:b/>
          <w:bCs/>
          <w:sz w:val="28"/>
          <w:szCs w:val="28"/>
          <w:lang w:eastAsia="zh-CN"/>
        </w:rPr>
        <w:t>3.4</w:t>
      </w:r>
      <w:r>
        <w:rPr>
          <w:rFonts w:hint="eastAsia" w:ascii="仿宋" w:hAnsi="仿宋" w:eastAsia="仿宋" w:cs="华文仿宋"/>
          <w:b/>
          <w:bCs/>
          <w:sz w:val="28"/>
          <w:szCs w:val="28"/>
        </w:rPr>
        <w:t>管理育人</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rPr>
        <w:t>发挥班主任与驻校教官携手育人效力，使得《礼运</w:t>
      </w:r>
      <w:r>
        <w:rPr>
          <w:rFonts w:ascii="Courier New" w:hAnsi="Courier New" w:eastAsia="仿宋" w:cs="Courier New"/>
          <w:sz w:val="28"/>
          <w:szCs w:val="28"/>
        </w:rPr>
        <w:t>·</w:t>
      </w:r>
      <w:r>
        <w:rPr>
          <w:rFonts w:hint="eastAsia" w:ascii="仿宋" w:hAnsi="仿宋" w:eastAsia="仿宋" w:cs="华文仿宋"/>
          <w:sz w:val="28"/>
          <w:szCs w:val="28"/>
        </w:rPr>
        <w:t>大同篇》手语操快速推展，成为学校的课间操保留项目。</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rPr>
        <w:t>一方面，班主任与驻校教官利用课余时间不断指导学生完成对《礼运</w:t>
      </w:r>
      <w:r>
        <w:rPr>
          <w:rFonts w:ascii="Courier New" w:hAnsi="Courier New" w:eastAsia="仿宋" w:cs="Courier New"/>
          <w:sz w:val="28"/>
          <w:szCs w:val="28"/>
        </w:rPr>
        <w:t>·</w:t>
      </w:r>
      <w:r>
        <w:rPr>
          <w:rFonts w:hint="eastAsia" w:ascii="仿宋" w:hAnsi="仿宋" w:eastAsia="仿宋" w:cs="华文仿宋"/>
          <w:sz w:val="28"/>
          <w:szCs w:val="28"/>
        </w:rPr>
        <w:t>大同篇》的文字解读；另一方面班主任与驻校教官按照四色文化项目组转发的腾讯视频动作要领，规范学生的手语操动作。学生在一个月的时间里快速完成了对手语操的认知与领悟，并通过活泼的形式展示了出来。</w:t>
      </w:r>
    </w:p>
    <w:p>
      <w:pPr>
        <w:spacing w:line="360" w:lineRule="auto"/>
        <w:ind w:firstLine="562" w:firstLineChars="200"/>
        <w:rPr>
          <w:rFonts w:ascii="仿宋" w:hAnsi="仿宋" w:eastAsia="仿宋" w:cs="华文仿宋"/>
          <w:sz w:val="28"/>
          <w:szCs w:val="28"/>
        </w:rPr>
      </w:pPr>
      <w:r>
        <w:rPr>
          <w:rFonts w:hint="eastAsia" w:ascii="仿宋" w:hAnsi="仿宋" w:eastAsia="仿宋" w:cs="华文仿宋"/>
          <w:b/>
          <w:bCs/>
          <w:sz w:val="28"/>
          <w:szCs w:val="28"/>
          <w:lang w:eastAsia="zh-CN"/>
        </w:rPr>
        <w:t>3.5</w:t>
      </w:r>
      <w:r>
        <w:rPr>
          <w:rFonts w:hint="eastAsia" w:ascii="仿宋" w:hAnsi="仿宋" w:eastAsia="仿宋" w:cs="华文仿宋"/>
          <w:b/>
          <w:bCs/>
          <w:sz w:val="28"/>
          <w:szCs w:val="28"/>
        </w:rPr>
        <w:t>活动育人</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rPr>
        <w:t>利用传统节日和学校自定节日关爱父母，打造青年志愿者送温暖工程服务老人，引导学生牢固树立敬老孝亲的大孝道理念。</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lang w:eastAsia="zh-CN"/>
        </w:rPr>
        <w:t>1.</w:t>
      </w:r>
      <w:r>
        <w:rPr>
          <w:rFonts w:hint="eastAsia" w:ascii="仿宋" w:hAnsi="仿宋" w:eastAsia="仿宋" w:cs="华文仿宋"/>
          <w:sz w:val="28"/>
          <w:szCs w:val="28"/>
        </w:rPr>
        <w:t>开展九九重阳节系列活动，包括我为父母送祝福；敬老节校园文化广播。思政课老师发布任务，学生通过超星学习通为父母送祝福。学生会组织的敬老孝亲校园文化广播让越来越多的学生在课余的朗诵与歌声中收益，陶冶其中。</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lang w:eastAsia="zh-CN"/>
        </w:rPr>
        <w:t>2.</w:t>
      </w:r>
      <w:r>
        <w:rPr>
          <w:rFonts w:hint="eastAsia" w:ascii="仿宋" w:hAnsi="仿宋" w:eastAsia="仿宋" w:cs="华文仿宋"/>
          <w:sz w:val="28"/>
          <w:szCs w:val="28"/>
        </w:rPr>
        <w:t>发起5</w:t>
      </w:r>
      <w:r>
        <w:rPr>
          <w:rFonts w:ascii="Segoe UI Emoji" w:hAnsi="Segoe UI Emoji" w:eastAsia="仿宋" w:cs="Segoe UI Emoji"/>
          <w:sz w:val="28"/>
          <w:szCs w:val="28"/>
        </w:rPr>
        <w:t>▪</w:t>
      </w:r>
      <w:r>
        <w:rPr>
          <w:rFonts w:hint="eastAsia" w:ascii="仿宋" w:hAnsi="仿宋" w:eastAsia="仿宋" w:cs="华文仿宋"/>
          <w:sz w:val="28"/>
          <w:szCs w:val="28"/>
        </w:rPr>
        <w:t>20“妈妈我爱你”（学校自定节日）爱心行动。思政课老师通过超星学习通发起课下活动任务，由学生上传“关爱父母”爱心视频，学生视频上传的内容也是丰富多彩的，每一种体验都是用心的杰作，每一次陪伴都是最长情的告白。</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lang w:eastAsia="zh-CN"/>
        </w:rPr>
        <w:t>3.</w:t>
      </w:r>
      <w:r>
        <w:rPr>
          <w:rFonts w:hint="eastAsia" w:ascii="仿宋" w:hAnsi="仿宋" w:eastAsia="仿宋" w:cs="华文仿宋"/>
          <w:sz w:val="28"/>
          <w:szCs w:val="28"/>
        </w:rPr>
        <w:t>通过带领学生到敬老院进行参观体验活动，让学生关注老年人生活需求、心理需求和医疗救助。引导学生树立“大医精诚，同济天下”的博大情怀与服务精神。</w:t>
      </w:r>
    </w:p>
    <w:p>
      <w:pPr>
        <w:spacing w:line="360" w:lineRule="auto"/>
        <w:ind w:firstLine="562" w:firstLineChars="200"/>
        <w:rPr>
          <w:rFonts w:ascii="仿宋" w:hAnsi="仿宋" w:eastAsia="仿宋" w:cs="华文仿宋"/>
          <w:sz w:val="28"/>
          <w:szCs w:val="28"/>
        </w:rPr>
      </w:pPr>
      <w:r>
        <w:rPr>
          <w:rFonts w:hint="eastAsia" w:ascii="仿宋" w:hAnsi="仿宋" w:eastAsia="仿宋" w:cs="华文仿宋"/>
          <w:b/>
          <w:bCs/>
          <w:sz w:val="28"/>
          <w:szCs w:val="28"/>
          <w:lang w:eastAsia="zh-CN"/>
        </w:rPr>
        <w:t>4</w:t>
      </w:r>
      <w:r>
        <w:rPr>
          <w:rFonts w:hint="eastAsia" w:ascii="仿宋" w:hAnsi="仿宋" w:eastAsia="仿宋" w:cs="华文仿宋"/>
          <w:b/>
          <w:bCs/>
          <w:sz w:val="28"/>
          <w:szCs w:val="28"/>
        </w:rPr>
        <w:t>主要成果</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rPr>
        <w:t>成果一：“全课程”建设助力蓝色文化的思政课程与课程思政同向同行，有机统一。蓝色文化主要对接思政课程《哲学与人生》，信息技术课程融入思政元素，两门课都注重加强学生热爱生活、感恩生活、赞美生活教育。组织学生在父亲节、母亲节、中秋节、重阳节、春节等传统节日完成孝道文化的体验和传播。学生制作的电子相册越来越精美，内涵也越来越体现了自身的成长，学生信息化水平和能力得以提升。语文、体育课程拓展助力礼运大同篇手语操顺利推展，在课程建设的彼此联系中实现对城市文化“大同”精神和对学校核心文化“大</w:t>
      </w:r>
      <w:r>
        <w:rPr>
          <w:rFonts w:ascii="Courier New" w:hAnsi="Courier New" w:eastAsia="仿宋" w:cs="Courier New"/>
          <w:sz w:val="28"/>
          <w:szCs w:val="28"/>
        </w:rPr>
        <w:t>·</w:t>
      </w:r>
      <w:r>
        <w:rPr>
          <w:rFonts w:hint="eastAsia" w:ascii="仿宋" w:hAnsi="仿宋" w:eastAsia="仿宋" w:cs="华文仿宋"/>
          <w:sz w:val="28"/>
          <w:szCs w:val="28"/>
        </w:rPr>
        <w:t>同”理念的认知。</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rPr>
        <w:t>成果二：成功实现了全域育人理念，“第三课堂”育人让实习生加入到火热的学校建设活动中。利用网络空间第三课堂，让实习的学生也加入到电子相册的制作中，全过程育人由整个在校学习生涯延展到学生实习期间，这是我校蓝色文化建设的显著成果。建设成果不应该仅仅是各种奖项，更应该是学生心灵的体验和思想情感的勃发。以往实习生不关注学校建设的现状被打破、改写，学生以一颗感恩的心，积极参与到学校活动中，去体验每一次制作带来的快乐与身心改变。信息技术在教育教学各领域全面应用，手机成为推动建设进程的良师益友。</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rPr>
        <w:t>成果三：敬老孝亲活动资料成为思政课的教学资源、教学案例，丰富和完善了教学内容。伴随着蓝色文化的不断探索与实践，基于核心素养培养的课程建设被提上了日程，而基于核心素养培育的“教学资源”的选取要“小”、“近”、“亲”、“实”，根植于中华民族骨子里的孝道文化无疑是最贴近学生生活的首选要素。敬老孝亲既可以作为校园活动开展的典型案例来推展，又可以反过来成为思政课堂的教学资源、教学案例来弥补教材千篇一律的不足。</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rPr>
        <w:t>成果四：礼运大同篇手语操成为课间操保留曲目。课间操也不再是广播体操的单曲循环，手语操的加入让课间操变成广播体操与手语操的双美轮转，在增强学生体质的同时，课间操拥有了文化底蕴与人文情怀。</w:t>
      </w:r>
    </w:p>
    <w:p>
      <w:pPr>
        <w:spacing w:line="360" w:lineRule="auto"/>
        <w:ind w:firstLine="562" w:firstLineChars="200"/>
        <w:rPr>
          <w:rFonts w:ascii="仿宋" w:hAnsi="仿宋" w:eastAsia="仿宋" w:cs="华文仿宋"/>
          <w:b/>
          <w:bCs/>
          <w:sz w:val="28"/>
          <w:szCs w:val="28"/>
        </w:rPr>
      </w:pPr>
      <w:r>
        <w:rPr>
          <w:rFonts w:hint="eastAsia" w:ascii="仿宋" w:hAnsi="仿宋" w:eastAsia="仿宋" w:cs="华文仿宋"/>
          <w:b/>
          <w:bCs/>
          <w:sz w:val="28"/>
          <w:szCs w:val="28"/>
          <w:lang w:eastAsia="zh-CN"/>
        </w:rPr>
        <w:t>5</w:t>
      </w:r>
      <w:r>
        <w:rPr>
          <w:rFonts w:hint="eastAsia" w:ascii="仿宋" w:hAnsi="仿宋" w:eastAsia="仿宋" w:cs="华文仿宋"/>
          <w:b/>
          <w:bCs/>
          <w:sz w:val="28"/>
          <w:szCs w:val="28"/>
        </w:rPr>
        <w:t>体会与思考</w:t>
      </w:r>
    </w:p>
    <w:p>
      <w:pPr>
        <w:spacing w:line="360" w:lineRule="auto"/>
        <w:ind w:firstLine="562" w:firstLineChars="200"/>
        <w:rPr>
          <w:rFonts w:ascii="仿宋" w:hAnsi="仿宋" w:eastAsia="仿宋" w:cs="华文仿宋"/>
          <w:b/>
          <w:bCs/>
          <w:sz w:val="28"/>
          <w:szCs w:val="28"/>
          <w:lang w:eastAsia="zh-CN"/>
        </w:rPr>
      </w:pPr>
      <w:r>
        <w:rPr>
          <w:rFonts w:hint="eastAsia" w:ascii="仿宋" w:hAnsi="仿宋" w:eastAsia="仿宋" w:cs="华文仿宋"/>
          <w:b/>
          <w:bCs/>
          <w:sz w:val="28"/>
          <w:szCs w:val="28"/>
          <w:lang w:eastAsia="zh-CN"/>
        </w:rPr>
        <w:t>5.1</w:t>
      </w:r>
      <w:r>
        <w:rPr>
          <w:rFonts w:hint="eastAsia" w:ascii="仿宋" w:hAnsi="仿宋" w:eastAsia="仿宋" w:cs="华文仿宋"/>
          <w:b/>
          <w:bCs/>
          <w:sz w:val="28"/>
          <w:szCs w:val="28"/>
        </w:rPr>
        <w:t>师生职业能力增强，学校影响力和知名度提升</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rPr>
        <w:t>蓝色文化与白色文化无缝对接，师生在建设中不断成长，创新创造能力增强，职业技能水平不断提升。在山西省专业技能大赛和教学能力比赛中屡获殊荣，学校的知名度和影响力不断扩大。两年来，教师在职业院校技能大赛中获得省级以上专业技能奖项22项（含国赛三等奖1项），获得省级以上教学能力奖项7人次；学生在职业院校技能大赛中获得省级以上奖项12项（含国赛三等奖1项）。</w:t>
      </w:r>
    </w:p>
    <w:p>
      <w:pPr>
        <w:spacing w:line="360" w:lineRule="auto"/>
        <w:ind w:firstLine="562" w:firstLineChars="200"/>
        <w:rPr>
          <w:rFonts w:ascii="仿宋" w:hAnsi="仿宋" w:eastAsia="仿宋" w:cs="华文仿宋"/>
          <w:b/>
          <w:bCs/>
          <w:sz w:val="28"/>
          <w:szCs w:val="28"/>
        </w:rPr>
      </w:pPr>
      <w:r>
        <w:rPr>
          <w:rFonts w:hint="eastAsia" w:ascii="仿宋" w:hAnsi="仿宋" w:eastAsia="仿宋" w:cs="华文仿宋"/>
          <w:b/>
          <w:bCs/>
          <w:sz w:val="28"/>
          <w:szCs w:val="28"/>
          <w:lang w:eastAsia="zh-CN"/>
        </w:rPr>
        <w:t>5.</w:t>
      </w:r>
      <w:r>
        <w:rPr>
          <w:rFonts w:hint="eastAsia" w:ascii="仿宋" w:hAnsi="仿宋" w:eastAsia="仿宋" w:cs="华文仿宋"/>
          <w:b/>
          <w:bCs/>
          <w:sz w:val="28"/>
          <w:szCs w:val="28"/>
        </w:rPr>
        <w:t>2师生收获学习满足感和职业幸福感，学校凝聚力增强</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rPr>
        <w:t>在基于“大同蓝”的孝道文化的传播中，最让我们有所收获的是学生自我成长与自我学习能力的增强。同时，值得一提的是参与建设的老师也同时收获了职业的幸福感和满足感。蓝色文化之敬老孝亲活动的开展让老师们在参与建设中体味到师者的幸福，一时间朋友圈都是活动期间的画面与视频作品，卫校人在一个项目的参与中聚集了人心、凝聚了力量、挥洒着真性情。</w:t>
      </w:r>
    </w:p>
    <w:p>
      <w:pPr>
        <w:spacing w:line="360" w:lineRule="auto"/>
        <w:ind w:firstLine="562" w:firstLineChars="200"/>
        <w:rPr>
          <w:rFonts w:ascii="仿宋" w:hAnsi="仿宋" w:eastAsia="仿宋" w:cs="华文仿宋"/>
          <w:b/>
          <w:bCs/>
          <w:sz w:val="28"/>
          <w:szCs w:val="28"/>
        </w:rPr>
      </w:pPr>
      <w:r>
        <w:rPr>
          <w:rFonts w:hint="eastAsia" w:ascii="仿宋" w:hAnsi="仿宋" w:eastAsia="仿宋" w:cs="华文仿宋"/>
          <w:b/>
          <w:bCs/>
          <w:sz w:val="28"/>
          <w:szCs w:val="28"/>
          <w:lang w:eastAsia="zh-CN"/>
        </w:rPr>
        <w:t>5.</w:t>
      </w:r>
      <w:r>
        <w:rPr>
          <w:rFonts w:hint="eastAsia" w:ascii="仿宋" w:hAnsi="仿宋" w:eastAsia="仿宋" w:cs="华文仿宋"/>
          <w:b/>
          <w:bCs/>
          <w:sz w:val="28"/>
          <w:szCs w:val="28"/>
        </w:rPr>
        <w:t>3学校的核心文化理念与城市文化有效融通并将共荣与发展</w:t>
      </w:r>
    </w:p>
    <w:p>
      <w:pPr>
        <w:spacing w:line="360" w:lineRule="auto"/>
        <w:ind w:firstLine="560" w:firstLineChars="200"/>
        <w:rPr>
          <w:rFonts w:ascii="仿宋" w:hAnsi="仿宋" w:eastAsia="仿宋" w:cs="华文仿宋"/>
          <w:sz w:val="28"/>
          <w:szCs w:val="28"/>
        </w:rPr>
      </w:pPr>
      <w:r>
        <w:rPr>
          <w:rFonts w:hint="eastAsia" w:ascii="仿宋" w:hAnsi="仿宋" w:eastAsia="仿宋" w:cs="华文仿宋"/>
          <w:sz w:val="28"/>
          <w:szCs w:val="28"/>
        </w:rPr>
        <w:t>从“大同蓝”城市名片到敬老孝亲的“大</w:t>
      </w:r>
      <w:r>
        <w:rPr>
          <w:rFonts w:ascii="Courier New" w:hAnsi="Courier New" w:eastAsia="仿宋" w:cs="Courier New"/>
          <w:sz w:val="28"/>
          <w:szCs w:val="28"/>
        </w:rPr>
        <w:t>·</w:t>
      </w:r>
      <w:r>
        <w:rPr>
          <w:rFonts w:hint="eastAsia" w:ascii="仿宋" w:hAnsi="仿宋" w:eastAsia="仿宋" w:cs="华文仿宋"/>
          <w:sz w:val="28"/>
          <w:szCs w:val="28"/>
        </w:rPr>
        <w:t>同”精神，我们想让学生去感受的是什么呢？是只有“大医精诚、同济天下”的博爱精神才能助力创造“人不独亲其亲，不独子其子；使老有所终，壮有所用，幼有所长；鳏寡孤独废疾者，皆有所养”的大同世界。博爱精神、服务意识是大同城市建设对医学生的素质要求，也是我校蓝色文化敬老孝亲活动的最终落脚点，即从孝亲--敬老--博爱，我校的核心文化理念在与城市文化融会贯通中将会得到高度共荣与发展，这便是我们所希冀看到的未来。</w:t>
      </w:r>
    </w:p>
    <w:p>
      <w:pPr>
        <w:pStyle w:val="4"/>
        <w:spacing w:line="360" w:lineRule="auto"/>
        <w:rPr>
          <w:rFonts w:ascii="仿宋" w:hAnsi="仿宋" w:eastAsia="仿宋"/>
          <w:b w:val="0"/>
          <w:bCs w:val="0"/>
          <w:sz w:val="28"/>
          <w:szCs w:val="28"/>
          <w:lang w:eastAsia="zh-CN"/>
        </w:rPr>
      </w:pPr>
      <w:bookmarkStart w:id="38" w:name="_Toc66798323"/>
      <w:r>
        <w:rPr>
          <w:rFonts w:hint="eastAsia" w:ascii="仿宋" w:hAnsi="仿宋" w:eastAsia="仿宋"/>
          <w:b w:val="0"/>
          <w:bCs w:val="0"/>
          <w:sz w:val="28"/>
          <w:szCs w:val="28"/>
          <w:lang w:eastAsia="zh-CN"/>
        </w:rPr>
        <w:t>7</w:t>
      </w:r>
      <w:r>
        <w:rPr>
          <w:rFonts w:ascii="仿宋" w:hAnsi="仿宋" w:eastAsia="仿宋"/>
          <w:b w:val="0"/>
          <w:bCs w:val="0"/>
          <w:sz w:val="28"/>
          <w:szCs w:val="28"/>
          <w:lang w:eastAsia="zh-CN"/>
        </w:rPr>
        <w:t>.2</w:t>
      </w:r>
      <w:r>
        <w:rPr>
          <w:rFonts w:hint="eastAsia" w:ascii="仿宋" w:hAnsi="仿宋" w:eastAsia="仿宋"/>
          <w:b w:val="0"/>
          <w:bCs w:val="0"/>
          <w:sz w:val="28"/>
          <w:szCs w:val="28"/>
          <w:lang w:eastAsia="zh-CN"/>
        </w:rPr>
        <w:t>【案例分享</w:t>
      </w:r>
      <w:r>
        <w:rPr>
          <w:rFonts w:ascii="仿宋" w:hAnsi="仿宋" w:eastAsia="仿宋"/>
          <w:b w:val="0"/>
          <w:bCs w:val="0"/>
          <w:sz w:val="28"/>
          <w:szCs w:val="28"/>
          <w:lang w:eastAsia="zh-CN"/>
        </w:rPr>
        <w:t>2</w:t>
      </w:r>
      <w:r>
        <w:rPr>
          <w:rFonts w:hint="eastAsia" w:ascii="仿宋" w:hAnsi="仿宋" w:eastAsia="仿宋"/>
          <w:b w:val="0"/>
          <w:bCs w:val="0"/>
          <w:sz w:val="28"/>
          <w:szCs w:val="28"/>
          <w:lang w:eastAsia="zh-CN"/>
        </w:rPr>
        <w:t>】大同市第二高级职业中学校</w:t>
      </w:r>
      <w:bookmarkEnd w:id="38"/>
    </w:p>
    <w:p>
      <w:pPr>
        <w:spacing w:line="360" w:lineRule="auto"/>
        <w:jc w:val="center"/>
        <w:rPr>
          <w:rFonts w:ascii="仿宋" w:hAnsi="仿宋" w:eastAsia="仿宋" w:cs="华文仿宋"/>
          <w:b/>
          <w:bCs/>
          <w:sz w:val="28"/>
          <w:szCs w:val="28"/>
          <w:lang w:eastAsia="zh-CN"/>
        </w:rPr>
      </w:pPr>
      <w:bookmarkStart w:id="39" w:name="_Toc64365951"/>
      <w:r>
        <w:rPr>
          <w:rFonts w:hint="eastAsia" w:ascii="仿宋" w:hAnsi="仿宋" w:eastAsia="仿宋" w:cs="华文仿宋"/>
          <w:b/>
          <w:bCs/>
          <w:sz w:val="28"/>
          <w:szCs w:val="28"/>
          <w:lang w:eastAsia="zh-CN"/>
        </w:rPr>
        <w:t>依托名师工作室 创新“双师”团队建设</w:t>
      </w:r>
      <w:bookmarkEnd w:id="39"/>
    </w:p>
    <w:p>
      <w:pPr>
        <w:pStyle w:val="11"/>
        <w:shd w:val="clear" w:color="auto" w:fill="FFFFFF"/>
        <w:spacing w:before="0" w:beforeAutospacing="0" w:after="0" w:afterAutospacing="0" w:line="360" w:lineRule="auto"/>
        <w:ind w:firstLine="560" w:firstLineChars="200"/>
        <w:jc w:val="both"/>
        <w:rPr>
          <w:rFonts w:ascii="仿宋" w:hAnsi="仿宋" w:eastAsia="仿宋" w:cs="华文仿宋"/>
          <w:sz w:val="28"/>
          <w:szCs w:val="28"/>
        </w:rPr>
      </w:pPr>
      <w:r>
        <w:rPr>
          <w:rFonts w:hint="eastAsia" w:ascii="仿宋" w:hAnsi="仿宋" w:eastAsia="仿宋" w:cs="华文仿宋"/>
          <w:sz w:val="28"/>
          <w:szCs w:val="28"/>
        </w:rPr>
        <w:t>《国家职业教育改革实施方案》明确了办好新时代职业教育的施工图，宣告职业教育大改革大发展的格局基本形成，职业教育由此进入爬坡过坎、提质培优的历史关键期。由教育部等九部门印发的《职业教育提质培优行动计划（2020—2023年）》（以下简称《行动计划》），正式发布。这标志着我国职业教育正在从“怎么看”转向“怎么干”的提质培优、增值赋能新时代，也意味着职业教育从“大有可为”的期待开始转向“大有作为”的实践阶段。随着职业教育改革的深入，特别是双师型“名师工作室”已成为促进教师发展，培养优秀教师的重要形式。本文以大同市第二高级职业中学校市级职业教育机电专业名师工作室为例，对学校名师工作室的实施背景、实施过程及实施成效进行了阐述。</w:t>
      </w:r>
    </w:p>
    <w:p>
      <w:pPr>
        <w:spacing w:line="360" w:lineRule="auto"/>
        <w:ind w:firstLine="560" w:firstLineChars="200"/>
        <w:jc w:val="both"/>
        <w:rPr>
          <w:rFonts w:ascii="仿宋" w:hAnsi="仿宋" w:eastAsia="仿宋"/>
          <w:sz w:val="28"/>
          <w:szCs w:val="28"/>
        </w:rPr>
      </w:pPr>
      <w:r>
        <w:rPr>
          <w:rFonts w:ascii="仿宋" w:hAnsi="仿宋" w:eastAsia="仿宋"/>
          <w:sz w:val="28"/>
          <w:szCs w:val="28"/>
        </w:rPr>
        <w:t>一、实施背景</w:t>
      </w:r>
    </w:p>
    <w:p>
      <w:pPr>
        <w:pStyle w:val="11"/>
        <w:shd w:val="clear" w:color="auto" w:fill="FFFFFF"/>
        <w:spacing w:before="0" w:beforeAutospacing="0" w:after="0" w:afterAutospacing="0" w:line="360" w:lineRule="auto"/>
        <w:ind w:firstLine="560" w:firstLineChars="200"/>
        <w:jc w:val="both"/>
        <w:rPr>
          <w:rFonts w:ascii="仿宋" w:hAnsi="仿宋" w:eastAsia="仿宋" w:cs="华文仿宋"/>
          <w:sz w:val="28"/>
          <w:szCs w:val="28"/>
        </w:rPr>
      </w:pPr>
      <w:r>
        <w:rPr>
          <w:rFonts w:hint="eastAsia" w:ascii="仿宋" w:hAnsi="仿宋" w:eastAsia="仿宋" w:cs="华文仿宋"/>
          <w:sz w:val="28"/>
          <w:szCs w:val="28"/>
        </w:rPr>
        <w:t>根据《大同市职业教育名师工作室实施方案》《大同市教育局关于举办职业教育产教融合（名师）工作室遴选的通知》文件精神，教育局决定成立产教融合、计算机、机电专业三个市级职业教育名师工作室，旨在打造一批优质研修资源、示范引领校本研修模式，打造一批定期研修、协同研究、常态合作的中职教师专业技能创新示范团队。经个人申报、现场面试及成员公开招募，确定大同市第二高级职业中学校（以下简称“我校”）为市职业教育机电专业名师工作室牵头单位，形成以我校机电技术应用专业学科带头人武向军老师为名师工作室主持人和4名骨干教师为成员的基础构架，当年吸纳大同市职教中心2名机电专业教师形成团队，名师工作室雏形基本形成。</w:t>
      </w:r>
    </w:p>
    <w:p>
      <w:pPr>
        <w:pStyle w:val="11"/>
        <w:shd w:val="clear" w:color="auto" w:fill="FFFFFF"/>
        <w:spacing w:before="0" w:beforeAutospacing="0" w:after="0" w:afterAutospacing="0" w:line="360" w:lineRule="auto"/>
        <w:ind w:firstLine="560" w:firstLineChars="200"/>
        <w:jc w:val="both"/>
        <w:rPr>
          <w:rFonts w:ascii="仿宋" w:hAnsi="仿宋" w:eastAsia="仿宋" w:cs="华文仿宋"/>
          <w:sz w:val="28"/>
          <w:szCs w:val="28"/>
        </w:rPr>
      </w:pPr>
      <w:r>
        <w:rPr>
          <w:rFonts w:hint="eastAsia" w:ascii="仿宋" w:hAnsi="仿宋" w:eastAsia="仿宋" w:cs="华文仿宋"/>
          <w:sz w:val="28"/>
          <w:szCs w:val="28"/>
        </w:rPr>
        <w:t>一年来，通过建设和发展名师工作室，推进名师引领，立足实践反思，加强团队合作，加快优秀教师的发展，积极探索科学高效的优秀人才成长机制，进而培养出一批有鲜明的教育思想和教学风格的职业学校专业领军人物和优秀骨干教师队伍，形成以名教师为核心的高层次骨干教师团队和专家型的教师研究、服务群体，促进产学研用的紧密结合，带动我市职业学校教师整体素质的提高。</w:t>
      </w:r>
    </w:p>
    <w:p>
      <w:pPr>
        <w:spacing w:line="360" w:lineRule="auto"/>
        <w:ind w:firstLine="560" w:firstLineChars="200"/>
        <w:jc w:val="both"/>
        <w:rPr>
          <w:rFonts w:ascii="仿宋" w:hAnsi="仿宋" w:eastAsia="仿宋"/>
          <w:sz w:val="28"/>
          <w:szCs w:val="28"/>
        </w:rPr>
      </w:pPr>
      <w:r>
        <w:rPr>
          <w:rFonts w:ascii="仿宋" w:hAnsi="仿宋" w:eastAsia="仿宋"/>
          <w:sz w:val="28"/>
          <w:szCs w:val="28"/>
        </w:rPr>
        <w:t>二、主要目标</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名师工作室作为职教政策的研究室、教师成才的摇篮室、职教科研的项目室、就业创业的孵化室，研究职业教育发展方向，把握职教政策精神，重视教师队伍的培养，发挥职教科研引领作用，大力推动职业院校科研项目的建设发展，培养成熟的产业工人，打造学生、学校、企业就业创业平台。</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（一）促进师德师风建设</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全面贯彻党的教育方针，落实立德树人根本任务。将“四有”好老师标准、四</w:t>
      </w:r>
      <w:r>
        <w:rPr>
          <w:rFonts w:hint="eastAsia" w:ascii="仿宋" w:hAnsi="仿宋" w:eastAsia="仿宋" w:cs="Times New Roman"/>
          <w:sz w:val="28"/>
          <w:szCs w:val="28"/>
          <w:shd w:val="clear" w:color="auto" w:fill="FFFFFF"/>
        </w:rPr>
        <w:t>个“引领人”和四个“相统一”等</w:t>
      </w:r>
      <w:r>
        <w:rPr>
          <w:rFonts w:ascii="仿宋" w:hAnsi="仿宋" w:eastAsia="仿宋" w:cs="Times New Roman"/>
          <w:sz w:val="28"/>
          <w:szCs w:val="28"/>
          <w:shd w:val="clear" w:color="auto" w:fill="FFFFFF"/>
        </w:rPr>
        <w:t>要求，贯穿于教书育人全过程。以德立身、以德立学、以德立教，模范践行社会主义核心价值观，志存高远，淡泊名利，为人师表。</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（二）培育优秀骨干教师</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充分发挥名师和行业企业专家传帮带作用，以名师为引领，以中青年教师和企业一线技术能手为骨干，以校为主，校企结合，深入开展学习、交流、研究、合作，增强人才培养、社会服务能力和水平，形成结构合理、梯次有序、理论知识扎实、技术技能过硬的优秀教师团队，培养造就一批全市乃至全省职业教育的“教练型”教学名师、专业带头人、技能大师和专业技能创新示范团队。</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（三）推动教育教学改革与教研科研技术创新活动</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聚焦专业方向，优化资源配置，整体提升行业发展水平。创新人才培养模式，推进现代学徒制试点，强化校企协同育人，健全技术技能人才培养体系。加大课程、教材及数字化资源研发力度，加强行动导向的教学实践与演练等。物化成果主要包括人才培养方案、数字化教学资源、项目教学法、教学诊断与改进研究项目等。</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（四）提高社会服务能力</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鼓励名师工作室创立技术转化中心，吸引社会企业投资，服务企业需求。以职业教育名师工作室以依托，强化指导队伍建设，着力培养技术技能过硬的优秀指导教师。服务学生实践技能和创新创业能力提升，指导实施学生创新创业实践活动。发挥职业教育名师工作室服务功能，积极开展校际、校企协作，为企业职工培训和社区教育提供信息咨询、技术指导等服务，积极与薄弱学校建立对口帮扶关系，提高对区域经济和社会发展的贡献度。</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（五）增强宣传力度</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建立职业教育名师工作室公众号，将工作室简介、工作室主持人简介、工作动态、成员风采、工作室成果、资源共享、理论引领等内容公布在公众号上，扩大影响力，加大宣传力度；同时通过微信公众号及时推送工作室动态及工作成果。</w:t>
      </w:r>
    </w:p>
    <w:p>
      <w:pPr>
        <w:spacing w:line="360" w:lineRule="auto"/>
        <w:ind w:firstLine="560" w:firstLineChars="200"/>
        <w:jc w:val="both"/>
        <w:rPr>
          <w:rFonts w:ascii="仿宋" w:hAnsi="仿宋" w:eastAsia="仿宋"/>
          <w:sz w:val="28"/>
          <w:szCs w:val="28"/>
        </w:rPr>
      </w:pPr>
      <w:r>
        <w:rPr>
          <w:rFonts w:ascii="仿宋" w:hAnsi="仿宋" w:eastAsia="仿宋"/>
          <w:sz w:val="28"/>
          <w:szCs w:val="28"/>
        </w:rPr>
        <w:t>三、实施过程</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名师工作室是名师工程的运行载体，其本质属性是实践共同体。名师工作室的运营过程并不是对名师的简单复制，而是通过名师的引领，促进教师专业成长，推动区域机电专业教师整体水平的提高，从而推动优质教育资源的不断形成，促进职业教育的均衡发展。</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（一）建设思路</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1</w:t>
      </w:r>
      <w:r>
        <w:rPr>
          <w:rFonts w:hint="eastAsia" w:ascii="仿宋" w:hAnsi="仿宋" w:eastAsia="仿宋" w:cs="Times New Roman"/>
          <w:sz w:val="28"/>
          <w:szCs w:val="28"/>
          <w:shd w:val="clear" w:color="auto" w:fill="FFFFFF"/>
        </w:rPr>
        <w:t>.</w:t>
      </w:r>
      <w:r>
        <w:rPr>
          <w:rFonts w:ascii="仿宋" w:hAnsi="仿宋" w:eastAsia="仿宋" w:cs="Times New Roman"/>
          <w:sz w:val="28"/>
          <w:szCs w:val="28"/>
          <w:shd w:val="clear" w:color="auto" w:fill="FFFFFF"/>
        </w:rPr>
        <w:t>培养一批名师</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通过建设名师工作室，倡导名师教学，努力造就一批全省乃至全国职业教育名家、教学名师、学科专业带头人，扩大大同职教的影响力，打造大同职业教育品牌。</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2</w:t>
      </w:r>
      <w:r>
        <w:rPr>
          <w:rFonts w:hint="eastAsia" w:ascii="仿宋" w:hAnsi="仿宋" w:eastAsia="仿宋" w:cs="Times New Roman"/>
          <w:sz w:val="28"/>
          <w:szCs w:val="28"/>
          <w:shd w:val="clear" w:color="auto" w:fill="FFFFFF"/>
        </w:rPr>
        <w:t>.</w:t>
      </w:r>
      <w:r>
        <w:rPr>
          <w:rFonts w:ascii="仿宋" w:hAnsi="仿宋" w:eastAsia="仿宋" w:cs="Times New Roman"/>
          <w:sz w:val="28"/>
          <w:szCs w:val="28"/>
          <w:shd w:val="clear" w:color="auto" w:fill="FFFFFF"/>
        </w:rPr>
        <w:t>带出一支团队</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让有培养潜力的教师进入名师工作室学习和研究，加大培养力度，努力促使其向更高层次发展，培养一批名师后备梯队人选，力求在一定工作周期内使培养对象在课堂教学上出精品，课题研究上出成果，管理岗位上出经验，引领职业教育专业教学的发展。</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3</w:t>
      </w:r>
      <w:r>
        <w:rPr>
          <w:rFonts w:hint="eastAsia" w:ascii="仿宋" w:hAnsi="仿宋" w:eastAsia="仿宋" w:cs="Times New Roman"/>
          <w:sz w:val="28"/>
          <w:szCs w:val="28"/>
          <w:shd w:val="clear" w:color="auto" w:fill="FFFFFF"/>
        </w:rPr>
        <w:t>.</w:t>
      </w:r>
      <w:r>
        <w:rPr>
          <w:rFonts w:ascii="仿宋" w:hAnsi="仿宋" w:eastAsia="仿宋" w:cs="Times New Roman"/>
          <w:sz w:val="28"/>
          <w:szCs w:val="28"/>
          <w:shd w:val="clear" w:color="auto" w:fill="FFFFFF"/>
        </w:rPr>
        <w:t>形成一张网络</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以名师工作室为基础，通过吸收同类学校成员、建立名师共同体、成立名师工作室联盟或名师工作室联席会议等形式，充分发挥名师在课堂教学、课改实验、课题研究、师资培养等方面的示范、指导、引领、辐射作用，使名师工作室成为优秀教师培养的发源地、优秀青年教师的集聚地和未来名师的孵化地。</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4</w:t>
      </w:r>
      <w:r>
        <w:rPr>
          <w:rFonts w:hint="eastAsia" w:ascii="仿宋" w:hAnsi="仿宋" w:eastAsia="仿宋" w:cs="Times New Roman"/>
          <w:sz w:val="28"/>
          <w:szCs w:val="28"/>
          <w:shd w:val="clear" w:color="auto" w:fill="FFFFFF"/>
        </w:rPr>
        <w:t>.</w:t>
      </w:r>
      <w:r>
        <w:rPr>
          <w:rFonts w:ascii="仿宋" w:hAnsi="仿宋" w:eastAsia="仿宋" w:cs="Times New Roman"/>
          <w:sz w:val="28"/>
          <w:szCs w:val="28"/>
          <w:shd w:val="clear" w:color="auto" w:fill="FFFFFF"/>
        </w:rPr>
        <w:t>产生一批成果</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名师工作室要以一批科研成果或社会服务效益来形成自己的特色。以专利、教学设计、作品、课件、论文、课题、学术专著、教材等多种成果形式，破解教学实践中的难题，体现服务大同经济转型升级的效果，形成良好的社会影响力。</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hint="eastAsia" w:ascii="仿宋" w:hAnsi="仿宋" w:eastAsia="仿宋" w:cs="Times New Roman"/>
          <w:sz w:val="28"/>
          <w:szCs w:val="28"/>
          <w:shd w:val="clear" w:color="auto" w:fill="FFFFFF"/>
        </w:rPr>
        <w:t>（二）</w:t>
      </w:r>
      <w:r>
        <w:rPr>
          <w:rFonts w:ascii="仿宋" w:hAnsi="仿宋" w:eastAsia="仿宋" w:cs="Times New Roman"/>
          <w:sz w:val="28"/>
          <w:szCs w:val="28"/>
          <w:shd w:val="clear" w:color="auto" w:fill="FFFFFF"/>
        </w:rPr>
        <w:t>建设的程序及具体举措</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1</w:t>
      </w:r>
      <w:r>
        <w:rPr>
          <w:rFonts w:hint="eastAsia" w:ascii="仿宋" w:hAnsi="仿宋" w:eastAsia="仿宋" w:cs="Times New Roman"/>
          <w:sz w:val="28"/>
          <w:szCs w:val="28"/>
          <w:shd w:val="clear" w:color="auto" w:fill="FFFFFF"/>
        </w:rPr>
        <w:t>.</w:t>
      </w:r>
      <w:r>
        <w:rPr>
          <w:rFonts w:ascii="仿宋" w:hAnsi="仿宋" w:eastAsia="仿宋" w:cs="Times New Roman"/>
          <w:sz w:val="28"/>
          <w:szCs w:val="28"/>
          <w:shd w:val="clear" w:color="auto" w:fill="FFFFFF"/>
        </w:rPr>
        <w:t>制订工作室计划,完善工作室制度</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制定工作室年度工作计划，细化工作目标，责任落实到人；制定工作室规章制度，规范工作程序，有效开展工作；建立工作室学习制度和例会制度，定期交流新思想、新方法，及时总结；利用工作室微信公众号，开展技术交流，提供技术研修、教学改革的交流平台；管好用好工作室经费，本着节约原则，合理使用经费；建立规范的工作室，健全成员档案，记录培养过程；完成上级主管部门与学校安排的其他专项工作。</w:t>
      </w:r>
    </w:p>
    <w:p>
      <w:pPr>
        <w:pStyle w:val="11"/>
        <w:shd w:val="clear" w:color="auto" w:fill="FFFFFF"/>
        <w:spacing w:before="0" w:beforeAutospacing="0" w:after="0" w:afterAutospacing="0" w:line="360" w:lineRule="auto"/>
        <w:jc w:val="center"/>
        <w:rPr>
          <w:rFonts w:ascii="仿宋" w:hAnsi="仿宋" w:eastAsia="仿宋" w:cs="仿宋"/>
          <w:sz w:val="28"/>
          <w:szCs w:val="28"/>
          <w:shd w:val="clear" w:color="auto" w:fill="FFFFFF"/>
        </w:rPr>
      </w:pPr>
      <w:r>
        <w:rPr>
          <w:rFonts w:ascii="仿宋" w:hAnsi="仿宋" w:eastAsia="仿宋" w:cs="仿宋"/>
          <w:sz w:val="28"/>
          <w:szCs w:val="28"/>
          <w:shd w:val="clear" w:color="auto" w:fill="FFFFFF"/>
        </w:rPr>
        <w:drawing>
          <wp:inline distT="0" distB="0" distL="114300" distR="114300">
            <wp:extent cx="2416175" cy="3398520"/>
            <wp:effectExtent l="0" t="0" r="3175" b="0"/>
            <wp:docPr id="12"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1"/>
                    <pic:cNvPicPr>
                      <a:picLocks noChangeAspect="1"/>
                    </pic:cNvPicPr>
                  </pic:nvPicPr>
                  <pic:blipFill>
                    <a:blip r:embed="rId37"/>
                    <a:stretch>
                      <a:fillRect/>
                    </a:stretch>
                  </pic:blipFill>
                  <pic:spPr>
                    <a:xfrm>
                      <a:off x="0" y="0"/>
                      <a:ext cx="2423135" cy="3408568"/>
                    </a:xfrm>
                    <a:prstGeom prst="rect">
                      <a:avLst/>
                    </a:prstGeom>
                    <a:noFill/>
                    <a:ln>
                      <a:noFill/>
                    </a:ln>
                  </pic:spPr>
                </pic:pic>
              </a:graphicData>
            </a:graphic>
          </wp:inline>
        </w:drawing>
      </w:r>
      <w:r>
        <w:rPr>
          <w:rFonts w:hint="eastAsia" w:ascii="仿宋" w:hAnsi="仿宋" w:eastAsia="仿宋" w:cs="仿宋"/>
          <w:sz w:val="28"/>
          <w:szCs w:val="28"/>
          <w:shd w:val="clear" w:color="auto" w:fill="FFFFFF"/>
        </w:rPr>
        <w:drawing>
          <wp:inline distT="0" distB="0" distL="114300" distR="114300">
            <wp:extent cx="2509520" cy="3254375"/>
            <wp:effectExtent l="0" t="0" r="5080" b="3175"/>
            <wp:docPr id="14"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2"/>
                    <pic:cNvPicPr>
                      <a:picLocks noChangeAspect="1"/>
                    </pic:cNvPicPr>
                  </pic:nvPicPr>
                  <pic:blipFill>
                    <a:blip r:embed="rId38"/>
                    <a:stretch>
                      <a:fillRect/>
                    </a:stretch>
                  </pic:blipFill>
                  <pic:spPr>
                    <a:xfrm>
                      <a:off x="0" y="0"/>
                      <a:ext cx="2528101" cy="3278127"/>
                    </a:xfrm>
                    <a:prstGeom prst="rect">
                      <a:avLst/>
                    </a:prstGeom>
                    <a:noFill/>
                    <a:ln>
                      <a:noFill/>
                    </a:ln>
                  </pic:spPr>
                </pic:pic>
              </a:graphicData>
            </a:graphic>
          </wp:inline>
        </w:drawing>
      </w:r>
    </w:p>
    <w:p>
      <w:pPr>
        <w:widowControl w:val="0"/>
        <w:spacing w:line="360" w:lineRule="auto"/>
        <w:ind w:firstLine="562" w:firstLineChars="200"/>
        <w:jc w:val="center"/>
        <w:rPr>
          <w:rFonts w:ascii="仿宋" w:hAnsi="仿宋" w:eastAsia="仿宋"/>
          <w:b/>
          <w:sz w:val="28"/>
          <w:szCs w:val="28"/>
        </w:rPr>
      </w:pPr>
      <w:r>
        <w:rPr>
          <w:rFonts w:hint="eastAsia" w:ascii="仿宋" w:hAnsi="仿宋" w:eastAsia="仿宋"/>
          <w:b/>
          <w:sz w:val="28"/>
          <w:szCs w:val="28"/>
        </w:rPr>
        <w:t>图</w:t>
      </w:r>
      <w:r>
        <w:rPr>
          <w:rFonts w:hint="eastAsia" w:ascii="仿宋" w:hAnsi="仿宋" w:eastAsia="仿宋"/>
          <w:b/>
          <w:sz w:val="28"/>
          <w:szCs w:val="28"/>
          <w:lang w:eastAsia="zh-CN"/>
        </w:rPr>
        <w:t>.</w:t>
      </w:r>
      <w:r>
        <w:rPr>
          <w:rFonts w:hint="eastAsia" w:ascii="仿宋" w:hAnsi="仿宋" w:eastAsia="仿宋"/>
          <w:b/>
          <w:sz w:val="28"/>
          <w:szCs w:val="28"/>
        </w:rPr>
        <w:t>机电名师工作室公众号及规章制度</w:t>
      </w:r>
    </w:p>
    <w:p>
      <w:pPr>
        <w:pStyle w:val="11"/>
        <w:shd w:val="clear" w:color="auto" w:fill="FFFFFF"/>
        <w:spacing w:before="0" w:beforeAutospacing="0" w:after="0" w:afterAutospacing="0" w:line="360" w:lineRule="auto"/>
        <w:ind w:firstLine="560" w:firstLineChars="200"/>
        <w:jc w:val="both"/>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2.编制工作室职责，明确工作室目标</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主持人职责：制定成员周期培养目标和工作室年度工作计划，建立工作室工作制度，并报市教育局备案；三年内培养出一定数量的名师、优秀骨干教师；建立职业教育名师工作室网站或开通微信公众平台加大宣传力度；教师深入企业调研，了解企业人才需求，结合实际教学，制定修订课程体系，人才培养方案。引领大同地区职业教育课程开发及教学资源建设；建立职业教育名师工作室，不仅要在理论层面提升，要定期深入各个职业学校，巡回授课，定期听课评课，针对学校专业课程的开展情况，开展内容进行评估。成立建立职业教育名师工作室每年要对各个职业学校，课程体系建设、教学模式、人才培养方案进行指导与服务。对成员进行考核，建立工作室成员成长档案；接受主管部门的指导、检查、评估，向主管部门汇报工作，作出书面总结；承担相关专业课题研究，工作周期期满时，完成工作室工作总结报告，完成1篇相关专业的研究报告，并公开发表1篇以上研究论文。</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成员职责：依据个人实际，确立自身发展目标，制定周期内工作计划。完成主持人安排的学习和研究任务。周期期满时，完成个人专业成长报告，并公开发表至少1篇研究论文；成员深入企业调研，了解企业人才需求，结合实际教学，每年要对各个职业学校，课程体系建设、教学模式、人才培养方案进行指导与服务。定期深入各个职业学校，巡回授课，定期听课评课，针对学校专业课程的开展情况，开展内容进行评估。</w:t>
      </w:r>
    </w:p>
    <w:p>
      <w:pPr>
        <w:pStyle w:val="11"/>
        <w:shd w:val="clear" w:color="auto" w:fill="FFFFFF"/>
        <w:spacing w:before="0" w:beforeAutospacing="0" w:after="0" w:afterAutospacing="0" w:line="360" w:lineRule="auto"/>
        <w:jc w:val="both"/>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drawing>
          <wp:inline distT="0" distB="0" distL="114300" distR="114300">
            <wp:extent cx="2508250" cy="2529205"/>
            <wp:effectExtent l="0" t="0" r="6350" b="4445"/>
            <wp:docPr id="16"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1"/>
                    <pic:cNvPicPr>
                      <a:picLocks noChangeAspect="1"/>
                    </pic:cNvPicPr>
                  </pic:nvPicPr>
                  <pic:blipFill>
                    <a:blip r:embed="rId39"/>
                    <a:stretch>
                      <a:fillRect/>
                    </a:stretch>
                  </pic:blipFill>
                  <pic:spPr>
                    <a:xfrm>
                      <a:off x="0" y="0"/>
                      <a:ext cx="2511446" cy="2532541"/>
                    </a:xfrm>
                    <a:prstGeom prst="rect">
                      <a:avLst/>
                    </a:prstGeom>
                    <a:noFill/>
                    <a:ln>
                      <a:noFill/>
                    </a:ln>
                  </pic:spPr>
                </pic:pic>
              </a:graphicData>
            </a:graphic>
          </wp:inline>
        </w:drawing>
      </w:r>
      <w:r>
        <w:rPr>
          <w:rFonts w:hint="eastAsia" w:ascii="仿宋" w:hAnsi="仿宋" w:eastAsia="仿宋" w:cs="仿宋"/>
          <w:sz w:val="28"/>
          <w:szCs w:val="28"/>
          <w:shd w:val="clear" w:color="auto" w:fill="FFFFFF"/>
        </w:rPr>
        <w:t xml:space="preserve"> </w:t>
      </w:r>
      <w:r>
        <w:rPr>
          <w:rFonts w:hint="eastAsia" w:ascii="仿宋" w:hAnsi="仿宋" w:eastAsia="仿宋" w:cs="仿宋"/>
          <w:sz w:val="28"/>
          <w:szCs w:val="28"/>
          <w:shd w:val="clear" w:color="auto" w:fill="FFFFFF"/>
        </w:rPr>
        <w:drawing>
          <wp:inline distT="0" distB="0" distL="114300" distR="114300">
            <wp:extent cx="2647315" cy="2668905"/>
            <wp:effectExtent l="0" t="0" r="635" b="17145"/>
            <wp:docPr id="17"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2"/>
                    <pic:cNvPicPr>
                      <a:picLocks noChangeAspect="1"/>
                    </pic:cNvPicPr>
                  </pic:nvPicPr>
                  <pic:blipFill>
                    <a:blip r:embed="rId40"/>
                    <a:stretch>
                      <a:fillRect/>
                    </a:stretch>
                  </pic:blipFill>
                  <pic:spPr>
                    <a:xfrm>
                      <a:off x="0" y="0"/>
                      <a:ext cx="2647315" cy="2668905"/>
                    </a:xfrm>
                    <a:prstGeom prst="rect">
                      <a:avLst/>
                    </a:prstGeom>
                    <a:noFill/>
                    <a:ln>
                      <a:noFill/>
                    </a:ln>
                  </pic:spPr>
                </pic:pic>
              </a:graphicData>
            </a:graphic>
          </wp:inline>
        </w:drawing>
      </w:r>
    </w:p>
    <w:p>
      <w:pPr>
        <w:widowControl w:val="0"/>
        <w:spacing w:line="360" w:lineRule="auto"/>
        <w:ind w:firstLine="562" w:firstLineChars="200"/>
        <w:jc w:val="center"/>
        <w:rPr>
          <w:rFonts w:ascii="仿宋" w:hAnsi="仿宋" w:eastAsia="仿宋"/>
          <w:b/>
          <w:sz w:val="28"/>
          <w:szCs w:val="28"/>
        </w:rPr>
      </w:pPr>
      <w:r>
        <w:rPr>
          <w:rFonts w:hint="eastAsia" w:ascii="仿宋" w:hAnsi="仿宋" w:eastAsia="仿宋"/>
          <w:b/>
          <w:sz w:val="28"/>
          <w:szCs w:val="28"/>
        </w:rPr>
        <w:t>工作室三年规划及发表论文题目</w:t>
      </w:r>
    </w:p>
    <w:p>
      <w:pPr>
        <w:pStyle w:val="11"/>
        <w:shd w:val="clear" w:color="auto" w:fill="FFFFFF"/>
        <w:spacing w:before="0" w:beforeAutospacing="0" w:after="0" w:afterAutospacing="0" w:line="360" w:lineRule="auto"/>
        <w:ind w:firstLine="560" w:firstLineChars="200"/>
        <w:jc w:val="both"/>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3.工作室建设具体举措</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hint="eastAsia" w:ascii="仿宋" w:hAnsi="仿宋" w:eastAsia="仿宋" w:cs="Times New Roman"/>
          <w:sz w:val="28"/>
          <w:szCs w:val="28"/>
          <w:shd w:val="clear" w:color="auto" w:fill="FFFFFF"/>
        </w:rPr>
        <w:t>（1）重视教师专业发展，重点培养中青年骨干教师</w:t>
      </w:r>
    </w:p>
    <w:p>
      <w:pPr>
        <w:pStyle w:val="11"/>
        <w:shd w:val="clear" w:color="auto" w:fill="FFFFFF"/>
        <w:spacing w:before="0" w:beforeAutospacing="0" w:after="0" w:afterAutospacing="0"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shd w:val="clear" w:color="auto" w:fill="FFFFFF"/>
        </w:rPr>
        <w:t>教师本身的专业发展，不仅是建设和课程改革成败的关键，是学校教育教学质量的根本保证，也是学校教育内涵不断提升的动力之源，更是学生以及学校可持续发展的关键因素。“双师型名师工作室”的建设，可以打造名师队伍，发挥“名师”的传帮带作用，发展教师的专业水平，提高教师队伍的整体素质，以适应新课程的要求。</w:t>
      </w:r>
    </w:p>
    <w:p>
      <w:pPr>
        <w:pStyle w:val="11"/>
        <w:shd w:val="clear" w:color="auto" w:fill="FFFFFF"/>
        <w:spacing w:before="0" w:beforeAutospacing="0" w:after="0" w:afterAutospacing="0" w:line="360" w:lineRule="auto"/>
        <w:ind w:firstLine="560" w:firstLineChars="200"/>
        <w:jc w:val="both"/>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培养中青年骨干教师，定期到企业进行生产实践锻炼，开展调研活动，进行课程体系改革，研究与使用现代教学方法、手段，指导学生技能竞赛，进行课题研究。发挥教学名师、学科带头人在教书育人中的示范引领作用，采用“传、帮、带”的方式、方法，更新教学理念，培养一批机电专业教学骨干，提升专业教师</w:t>
      </w:r>
      <w:r>
        <w:rPr>
          <w:rFonts w:hint="eastAsia" w:ascii="仿宋" w:hAnsi="仿宋" w:eastAsia="仿宋" w:cs="仿宋"/>
          <w:w w:val="95"/>
          <w:sz w:val="28"/>
          <w:szCs w:val="28"/>
          <w:shd w:val="clear" w:color="auto" w:fill="FFFFFF"/>
        </w:rPr>
        <w:t>“双师素质”和教师比例，为专业建设打下坚实的基础。</w:t>
      </w:r>
    </w:p>
    <w:p>
      <w:pPr>
        <w:pStyle w:val="11"/>
        <w:shd w:val="clear" w:color="auto" w:fill="FFFFFF"/>
        <w:spacing w:before="0" w:beforeAutospacing="0" w:after="0" w:afterAutospacing="0" w:line="360" w:lineRule="auto"/>
        <w:jc w:val="both"/>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drawing>
          <wp:inline distT="0" distB="0" distL="114300" distR="114300">
            <wp:extent cx="2578100" cy="1934210"/>
            <wp:effectExtent l="0" t="0" r="0" b="8890"/>
            <wp:docPr id="10"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1"/>
                    <pic:cNvPicPr>
                      <a:picLocks noChangeAspect="1"/>
                    </pic:cNvPicPr>
                  </pic:nvPicPr>
                  <pic:blipFill>
                    <a:blip r:embed="rId41"/>
                    <a:stretch>
                      <a:fillRect/>
                    </a:stretch>
                  </pic:blipFill>
                  <pic:spPr>
                    <a:xfrm>
                      <a:off x="0" y="0"/>
                      <a:ext cx="2590834" cy="1944046"/>
                    </a:xfrm>
                    <a:prstGeom prst="rect">
                      <a:avLst/>
                    </a:prstGeom>
                    <a:noFill/>
                    <a:ln>
                      <a:noFill/>
                    </a:ln>
                  </pic:spPr>
                </pic:pic>
              </a:graphicData>
            </a:graphic>
          </wp:inline>
        </w:drawing>
      </w:r>
      <w:r>
        <w:rPr>
          <w:rFonts w:hint="eastAsia" w:ascii="仿宋" w:hAnsi="仿宋" w:eastAsia="仿宋" w:cs="仿宋"/>
          <w:sz w:val="28"/>
          <w:szCs w:val="28"/>
          <w:shd w:val="clear" w:color="auto" w:fill="FFFFFF"/>
        </w:rPr>
        <w:t xml:space="preserve"> </w:t>
      </w:r>
      <w:r>
        <w:rPr>
          <w:rFonts w:hint="eastAsia" w:ascii="仿宋" w:hAnsi="仿宋" w:eastAsia="仿宋" w:cs="仿宋"/>
          <w:sz w:val="28"/>
          <w:szCs w:val="28"/>
          <w:shd w:val="clear" w:color="auto" w:fill="FFFFFF"/>
        </w:rPr>
        <w:drawing>
          <wp:inline distT="0" distB="0" distL="114300" distR="114300">
            <wp:extent cx="2566035" cy="1927225"/>
            <wp:effectExtent l="0" t="0" r="5715" b="0"/>
            <wp:docPr id="9"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2"/>
                    <pic:cNvPicPr>
                      <a:picLocks noChangeAspect="1"/>
                    </pic:cNvPicPr>
                  </pic:nvPicPr>
                  <pic:blipFill>
                    <a:blip r:embed="rId42"/>
                    <a:stretch>
                      <a:fillRect/>
                    </a:stretch>
                  </pic:blipFill>
                  <pic:spPr>
                    <a:xfrm>
                      <a:off x="0" y="0"/>
                      <a:ext cx="2572455" cy="1931774"/>
                    </a:xfrm>
                    <a:prstGeom prst="rect">
                      <a:avLst/>
                    </a:prstGeom>
                    <a:noFill/>
                    <a:ln>
                      <a:noFill/>
                    </a:ln>
                  </pic:spPr>
                </pic:pic>
              </a:graphicData>
            </a:graphic>
          </wp:inline>
        </w:drawing>
      </w:r>
    </w:p>
    <w:p>
      <w:pPr>
        <w:pStyle w:val="11"/>
        <w:shd w:val="clear" w:color="auto" w:fill="FFFFFF"/>
        <w:spacing w:before="0" w:beforeAutospacing="0" w:after="0" w:afterAutospacing="0" w:line="360" w:lineRule="auto"/>
        <w:jc w:val="center"/>
        <w:rPr>
          <w:rFonts w:ascii="仿宋" w:hAnsi="仿宋" w:eastAsia="仿宋" w:cs="Times New Roman"/>
          <w:b/>
          <w:sz w:val="28"/>
          <w:szCs w:val="28"/>
        </w:rPr>
      </w:pPr>
      <w:r>
        <w:rPr>
          <w:rFonts w:hint="eastAsia" w:ascii="仿宋" w:hAnsi="仿宋" w:eastAsia="仿宋" w:cs="Times New Roman"/>
          <w:b/>
          <w:sz w:val="28"/>
          <w:szCs w:val="28"/>
        </w:rPr>
        <w:t>工作室举办听评课活动</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hint="eastAsia" w:ascii="仿宋" w:hAnsi="仿宋" w:eastAsia="仿宋" w:cs="Times New Roman"/>
          <w:sz w:val="28"/>
          <w:szCs w:val="28"/>
          <w:shd w:val="clear" w:color="auto" w:fill="FFFFFF"/>
        </w:rPr>
        <w:t>（2）开展教科研、专业建设，需要创新团队。</w:t>
      </w:r>
    </w:p>
    <w:p>
      <w:pPr>
        <w:pStyle w:val="11"/>
        <w:shd w:val="clear" w:color="auto" w:fill="FFFFFF"/>
        <w:spacing w:before="0" w:beforeAutospacing="0" w:after="0" w:afterAutospacing="0"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shd w:val="clear" w:color="auto" w:fill="FFFFFF"/>
        </w:rPr>
        <w:t>专业团队是教师个人成长的重要环境，教师专业发展需要有相应的团队文化支撑。教师应该是专业团队中的一员，而不是孤军奋战者。团队中的每一位教师通过名师引领、同伴互助，不断学习新知，不断反思，改善心智，修正自己的教育行为，不断超越自我，充分发挥各自的创造能力，个体的价值得到体现，绩效得以大幅度提高。</w:t>
      </w:r>
    </w:p>
    <w:p>
      <w:pPr>
        <w:pStyle w:val="11"/>
        <w:shd w:val="clear" w:color="auto" w:fill="FFFFFF"/>
        <w:spacing w:before="0" w:beforeAutospacing="0" w:after="0" w:afterAutospacing="0" w:line="360" w:lineRule="auto"/>
        <w:ind w:firstLine="560" w:firstLineChars="200"/>
        <w:jc w:val="both"/>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名师引领专业建设、课程改革，组织工作室成员进行专业建设、课题研究、发表论文，编写校本教材等活动。促进专业建设和课程改革，使学校教育内涵建设不断提升，为学生及学校可持续发展提供有效的途径。</w:t>
      </w:r>
    </w:p>
    <w:p>
      <w:pPr>
        <w:pStyle w:val="11"/>
        <w:shd w:val="clear" w:color="auto" w:fill="FFFFFF"/>
        <w:spacing w:before="0" w:beforeAutospacing="0" w:after="0" w:afterAutospacing="0" w:line="360" w:lineRule="auto"/>
        <w:jc w:val="center"/>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drawing>
          <wp:inline distT="0" distB="0" distL="114300" distR="114300">
            <wp:extent cx="2552700" cy="1908810"/>
            <wp:effectExtent l="0" t="0" r="0" b="15240"/>
            <wp:docPr id="18"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1"/>
                    <pic:cNvPicPr>
                      <a:picLocks noChangeAspect="1"/>
                    </pic:cNvPicPr>
                  </pic:nvPicPr>
                  <pic:blipFill>
                    <a:blip r:embed="rId43"/>
                    <a:stretch>
                      <a:fillRect/>
                    </a:stretch>
                  </pic:blipFill>
                  <pic:spPr>
                    <a:xfrm>
                      <a:off x="0" y="0"/>
                      <a:ext cx="2552700" cy="1908810"/>
                    </a:xfrm>
                    <a:prstGeom prst="rect">
                      <a:avLst/>
                    </a:prstGeom>
                    <a:noFill/>
                    <a:ln>
                      <a:noFill/>
                    </a:ln>
                  </pic:spPr>
                </pic:pic>
              </a:graphicData>
            </a:graphic>
          </wp:inline>
        </w:drawing>
      </w:r>
      <w:r>
        <w:rPr>
          <w:rFonts w:hint="eastAsia" w:ascii="仿宋" w:hAnsi="仿宋" w:eastAsia="仿宋" w:cs="仿宋"/>
          <w:sz w:val="28"/>
          <w:szCs w:val="28"/>
          <w:shd w:val="clear" w:color="auto" w:fill="FFFFFF"/>
        </w:rPr>
        <w:t xml:space="preserve"> </w:t>
      </w:r>
      <w:r>
        <w:rPr>
          <w:rFonts w:hint="eastAsia" w:ascii="仿宋" w:hAnsi="仿宋" w:eastAsia="仿宋" w:cs="仿宋"/>
          <w:sz w:val="28"/>
          <w:szCs w:val="28"/>
          <w:shd w:val="clear" w:color="auto" w:fill="FFFFFF"/>
        </w:rPr>
        <w:drawing>
          <wp:inline distT="0" distB="0" distL="114300" distR="114300">
            <wp:extent cx="2523490" cy="1897380"/>
            <wp:effectExtent l="0" t="0" r="10160" b="7620"/>
            <wp:docPr id="5"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2"/>
                    <pic:cNvPicPr>
                      <a:picLocks noChangeAspect="1"/>
                    </pic:cNvPicPr>
                  </pic:nvPicPr>
                  <pic:blipFill>
                    <a:blip r:embed="rId44"/>
                    <a:stretch>
                      <a:fillRect/>
                    </a:stretch>
                  </pic:blipFill>
                  <pic:spPr>
                    <a:xfrm>
                      <a:off x="0" y="0"/>
                      <a:ext cx="2523490" cy="1897380"/>
                    </a:xfrm>
                    <a:prstGeom prst="rect">
                      <a:avLst/>
                    </a:prstGeom>
                    <a:noFill/>
                    <a:ln>
                      <a:noFill/>
                    </a:ln>
                  </pic:spPr>
                </pic:pic>
              </a:graphicData>
            </a:graphic>
          </wp:inline>
        </w:drawing>
      </w:r>
    </w:p>
    <w:p>
      <w:pPr>
        <w:pStyle w:val="11"/>
        <w:shd w:val="clear" w:color="auto" w:fill="FFFFFF"/>
        <w:spacing w:before="0" w:beforeAutospacing="0" w:after="0" w:afterAutospacing="0" w:line="360" w:lineRule="auto"/>
        <w:jc w:val="center"/>
        <w:rPr>
          <w:rFonts w:ascii="仿宋" w:hAnsi="仿宋" w:eastAsia="仿宋" w:cs="Times New Roman"/>
          <w:b/>
          <w:sz w:val="28"/>
          <w:szCs w:val="28"/>
        </w:rPr>
      </w:pPr>
      <w:r>
        <w:rPr>
          <w:rFonts w:hint="eastAsia" w:ascii="仿宋" w:hAnsi="仿宋" w:eastAsia="仿宋" w:cs="Times New Roman"/>
          <w:b/>
          <w:sz w:val="28"/>
          <w:szCs w:val="28"/>
        </w:rPr>
        <w:t>工作室举办教学标准、校本教材编制活动</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hint="eastAsia" w:ascii="仿宋" w:hAnsi="仿宋" w:eastAsia="仿宋" w:cs="Times New Roman"/>
          <w:sz w:val="28"/>
          <w:szCs w:val="28"/>
          <w:shd w:val="clear" w:color="auto" w:fill="FFFFFF"/>
        </w:rPr>
        <w:t>（3）创新新技术、校企合作需要拔尖人才，要发挥教学的引领示范作用</w:t>
      </w:r>
    </w:p>
    <w:p>
      <w:pPr>
        <w:pStyle w:val="11"/>
        <w:shd w:val="clear" w:color="auto" w:fill="FFFFFF"/>
        <w:spacing w:before="0" w:beforeAutospacing="0" w:after="0" w:afterAutospacing="0" w:line="360" w:lineRule="auto"/>
        <w:ind w:firstLine="560" w:firstLineChars="200"/>
        <w:jc w:val="both"/>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教师要发展，离不开校企合作，校企合作需要这样的拔尖人才：既具有良好的师德风范，热爱学生、热爱教育事业，甘于奉献、率先垂范，又具有高超的教学艺术，形成自己独特的教学风格，能科学艺术地驾驭课堂，更具有广博的学识，坚实的专业知识，熟悉相关的理论知识。拔尖人才的培养同样需要发挥团队的智慧。</w:t>
      </w:r>
    </w:p>
    <w:p>
      <w:pPr>
        <w:pStyle w:val="11"/>
        <w:shd w:val="clear" w:color="auto" w:fill="FFFFFF"/>
        <w:spacing w:before="0" w:beforeAutospacing="0" w:after="0" w:afterAutospacing="0" w:line="360" w:lineRule="auto"/>
        <w:jc w:val="center"/>
        <w:rPr>
          <w:rFonts w:ascii="仿宋" w:hAnsi="仿宋" w:eastAsia="仿宋" w:cs="仿宋"/>
          <w:b/>
          <w:bCs/>
          <w:sz w:val="28"/>
          <w:szCs w:val="28"/>
          <w:shd w:val="clear" w:color="auto" w:fill="FFFFFF"/>
        </w:rPr>
      </w:pPr>
      <w:r>
        <w:rPr>
          <w:rFonts w:ascii="仿宋" w:hAnsi="仿宋" w:eastAsia="仿宋" w:cs="仿宋"/>
          <w:b/>
          <w:bCs/>
          <w:sz w:val="28"/>
          <w:szCs w:val="28"/>
          <w:shd w:val="clear" w:color="auto" w:fill="FFFFFF"/>
        </w:rPr>
        <w:drawing>
          <wp:inline distT="0" distB="0" distL="114300" distR="114300">
            <wp:extent cx="2519045" cy="1887220"/>
            <wp:effectExtent l="0" t="0" r="14605" b="17780"/>
            <wp:docPr id="4"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1"/>
                    <pic:cNvPicPr>
                      <a:picLocks noChangeAspect="1"/>
                    </pic:cNvPicPr>
                  </pic:nvPicPr>
                  <pic:blipFill>
                    <a:blip r:embed="rId45"/>
                    <a:stretch>
                      <a:fillRect/>
                    </a:stretch>
                  </pic:blipFill>
                  <pic:spPr>
                    <a:xfrm>
                      <a:off x="0" y="0"/>
                      <a:ext cx="2519045" cy="1887220"/>
                    </a:xfrm>
                    <a:prstGeom prst="rect">
                      <a:avLst/>
                    </a:prstGeom>
                    <a:noFill/>
                    <a:ln>
                      <a:noFill/>
                    </a:ln>
                  </pic:spPr>
                </pic:pic>
              </a:graphicData>
            </a:graphic>
          </wp:inline>
        </w:drawing>
      </w:r>
      <w:r>
        <w:rPr>
          <w:rFonts w:hint="eastAsia" w:ascii="仿宋" w:hAnsi="仿宋" w:eastAsia="仿宋" w:cs="仿宋"/>
          <w:b/>
          <w:bCs/>
          <w:sz w:val="28"/>
          <w:szCs w:val="28"/>
          <w:shd w:val="clear" w:color="auto" w:fill="FFFFFF"/>
        </w:rPr>
        <w:t xml:space="preserve"> </w:t>
      </w:r>
      <w:r>
        <w:rPr>
          <w:rFonts w:hint="eastAsia" w:ascii="仿宋" w:hAnsi="仿宋" w:eastAsia="仿宋" w:cs="仿宋"/>
          <w:b/>
          <w:bCs/>
          <w:sz w:val="28"/>
          <w:szCs w:val="28"/>
          <w:shd w:val="clear" w:color="auto" w:fill="FFFFFF"/>
        </w:rPr>
        <w:drawing>
          <wp:inline distT="0" distB="0" distL="114300" distR="114300">
            <wp:extent cx="2510155" cy="1903730"/>
            <wp:effectExtent l="0" t="0" r="4445" b="1270"/>
            <wp:docPr id="6"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2"/>
                    <pic:cNvPicPr>
                      <a:picLocks noChangeAspect="1"/>
                    </pic:cNvPicPr>
                  </pic:nvPicPr>
                  <pic:blipFill>
                    <a:blip r:embed="rId46"/>
                    <a:stretch>
                      <a:fillRect/>
                    </a:stretch>
                  </pic:blipFill>
                  <pic:spPr>
                    <a:xfrm>
                      <a:off x="0" y="0"/>
                      <a:ext cx="2510155" cy="1903730"/>
                    </a:xfrm>
                    <a:prstGeom prst="rect">
                      <a:avLst/>
                    </a:prstGeom>
                    <a:noFill/>
                    <a:ln>
                      <a:noFill/>
                    </a:ln>
                  </pic:spPr>
                </pic:pic>
              </a:graphicData>
            </a:graphic>
          </wp:inline>
        </w:drawing>
      </w:r>
    </w:p>
    <w:p>
      <w:pPr>
        <w:pStyle w:val="11"/>
        <w:shd w:val="clear" w:color="auto" w:fill="FFFFFF"/>
        <w:spacing w:before="0" w:beforeAutospacing="0" w:after="0" w:afterAutospacing="0" w:line="360" w:lineRule="auto"/>
        <w:jc w:val="center"/>
        <w:rPr>
          <w:rFonts w:ascii="仿宋" w:hAnsi="仿宋" w:eastAsia="仿宋" w:cs="Times New Roman"/>
          <w:b/>
          <w:sz w:val="28"/>
          <w:szCs w:val="28"/>
        </w:rPr>
      </w:pPr>
      <w:r>
        <w:rPr>
          <w:rFonts w:hint="eastAsia" w:ascii="仿宋" w:hAnsi="仿宋" w:eastAsia="仿宋" w:cs="Times New Roman"/>
          <w:b/>
          <w:sz w:val="28"/>
          <w:szCs w:val="28"/>
        </w:rPr>
        <w:t>校企合作及师德标兵</w:t>
      </w:r>
    </w:p>
    <w:p>
      <w:pPr>
        <w:pStyle w:val="11"/>
        <w:shd w:val="clear" w:color="auto" w:fill="FFFFFF"/>
        <w:spacing w:before="0" w:beforeAutospacing="0" w:after="0" w:afterAutospacing="0" w:line="360" w:lineRule="auto"/>
        <w:ind w:firstLine="560" w:firstLineChars="200"/>
        <w:jc w:val="both"/>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工作室成员要开设讲座、上公开课、听课评课任务，组织集中的教学专题研讨活动，开展互动教研，发布工作室建设工作动态，总结推广工作室建设教育教学经验，发挥教育教学的示范作用。参与实训基地建设，为教师开展教学、提高技能，为学生实习实训搭建平台。</w:t>
      </w:r>
    </w:p>
    <w:p>
      <w:pPr>
        <w:pStyle w:val="11"/>
        <w:shd w:val="clear" w:color="auto" w:fill="FFFFFF"/>
        <w:spacing w:before="0" w:beforeAutospacing="0" w:after="0" w:afterAutospacing="0" w:line="360" w:lineRule="auto"/>
        <w:jc w:val="center"/>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drawing>
          <wp:inline distT="0" distB="0" distL="114300" distR="114300">
            <wp:extent cx="2458720" cy="1936115"/>
            <wp:effectExtent l="0" t="0" r="0" b="6985"/>
            <wp:docPr id="2"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1"/>
                    <pic:cNvPicPr>
                      <a:picLocks noChangeAspect="1"/>
                    </pic:cNvPicPr>
                  </pic:nvPicPr>
                  <pic:blipFill>
                    <a:blip r:embed="rId47"/>
                    <a:stretch>
                      <a:fillRect/>
                    </a:stretch>
                  </pic:blipFill>
                  <pic:spPr>
                    <a:xfrm>
                      <a:off x="0" y="0"/>
                      <a:ext cx="2466654" cy="1942536"/>
                    </a:xfrm>
                    <a:prstGeom prst="rect">
                      <a:avLst/>
                    </a:prstGeom>
                    <a:noFill/>
                    <a:ln>
                      <a:noFill/>
                    </a:ln>
                  </pic:spPr>
                </pic:pic>
              </a:graphicData>
            </a:graphic>
          </wp:inline>
        </w:drawing>
      </w:r>
      <w:r>
        <w:rPr>
          <w:rFonts w:hint="eastAsia" w:ascii="仿宋" w:hAnsi="仿宋" w:eastAsia="仿宋" w:cs="仿宋"/>
          <w:sz w:val="28"/>
          <w:szCs w:val="28"/>
          <w:shd w:val="clear" w:color="auto" w:fill="FFFFFF"/>
        </w:rPr>
        <w:t xml:space="preserve"> </w:t>
      </w:r>
      <w:r>
        <w:rPr>
          <w:rFonts w:hint="eastAsia" w:ascii="仿宋" w:hAnsi="仿宋" w:eastAsia="仿宋" w:cs="仿宋"/>
          <w:sz w:val="28"/>
          <w:szCs w:val="28"/>
          <w:shd w:val="clear" w:color="auto" w:fill="FFFFFF"/>
        </w:rPr>
        <w:drawing>
          <wp:inline distT="0" distB="0" distL="114300" distR="114300">
            <wp:extent cx="2581275" cy="1943735"/>
            <wp:effectExtent l="0" t="0" r="0" b="0"/>
            <wp:docPr id="20"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2"/>
                    <pic:cNvPicPr>
                      <a:picLocks noChangeAspect="1"/>
                    </pic:cNvPicPr>
                  </pic:nvPicPr>
                  <pic:blipFill>
                    <a:blip r:embed="rId48"/>
                    <a:stretch>
                      <a:fillRect/>
                    </a:stretch>
                  </pic:blipFill>
                  <pic:spPr>
                    <a:xfrm>
                      <a:off x="0" y="0"/>
                      <a:ext cx="2589649" cy="1950436"/>
                    </a:xfrm>
                    <a:prstGeom prst="rect">
                      <a:avLst/>
                    </a:prstGeom>
                    <a:noFill/>
                    <a:ln>
                      <a:noFill/>
                    </a:ln>
                  </pic:spPr>
                </pic:pic>
              </a:graphicData>
            </a:graphic>
          </wp:inline>
        </w:drawing>
      </w:r>
    </w:p>
    <w:p>
      <w:pPr>
        <w:pStyle w:val="11"/>
        <w:shd w:val="clear" w:color="auto" w:fill="FFFFFF"/>
        <w:spacing w:before="0" w:beforeAutospacing="0" w:after="0" w:afterAutospacing="0" w:line="360" w:lineRule="auto"/>
        <w:jc w:val="center"/>
        <w:rPr>
          <w:rFonts w:ascii="仿宋" w:hAnsi="仿宋" w:eastAsia="仿宋" w:cs="Times New Roman"/>
          <w:b/>
          <w:sz w:val="28"/>
          <w:szCs w:val="28"/>
        </w:rPr>
      </w:pPr>
      <w:r>
        <w:rPr>
          <w:rFonts w:hint="eastAsia" w:ascii="仿宋" w:hAnsi="仿宋" w:eastAsia="仿宋" w:cs="Times New Roman"/>
          <w:b/>
          <w:sz w:val="28"/>
          <w:szCs w:val="28"/>
        </w:rPr>
        <w:t>工作室成员举办听评课及集体备课活动</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hint="eastAsia" w:ascii="仿宋" w:hAnsi="仿宋" w:eastAsia="仿宋" w:cs="Times New Roman"/>
          <w:sz w:val="28"/>
          <w:szCs w:val="28"/>
          <w:shd w:val="clear" w:color="auto" w:fill="FFFFFF"/>
        </w:rPr>
        <w:t>（4）建设教学资源库</w:t>
      </w:r>
    </w:p>
    <w:p>
      <w:pPr>
        <w:pStyle w:val="11"/>
        <w:shd w:val="clear" w:color="auto" w:fill="FFFFFF"/>
        <w:spacing w:before="0" w:beforeAutospacing="0" w:after="0" w:afterAutospacing="0" w:line="360" w:lineRule="auto"/>
        <w:ind w:firstLine="560" w:firstLineChars="200"/>
        <w:jc w:val="both"/>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编写校本教材，建设教学资源库，开发机电专业课课件。紧密结合以课程改革为背景，教学需求为核心，强化个性化教案、教学课件、教学辅助材料等方面建设教学资源库。教学资源库通过网络、研讨会、报告会等途径与广大专业教师共享与交流。</w:t>
      </w:r>
    </w:p>
    <w:p>
      <w:pPr>
        <w:pStyle w:val="11"/>
        <w:shd w:val="clear" w:color="auto" w:fill="FFFFFF"/>
        <w:spacing w:before="0" w:beforeAutospacing="0" w:after="0" w:afterAutospacing="0" w:line="360" w:lineRule="auto"/>
        <w:jc w:val="center"/>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drawing>
          <wp:inline distT="0" distB="0" distL="114300" distR="114300">
            <wp:extent cx="2477135" cy="3317875"/>
            <wp:effectExtent l="0" t="0" r="0" b="0"/>
            <wp:docPr id="21"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3"/>
                    <pic:cNvPicPr>
                      <a:picLocks noChangeAspect="1"/>
                    </pic:cNvPicPr>
                  </pic:nvPicPr>
                  <pic:blipFill>
                    <a:blip r:embed="rId49"/>
                    <a:stretch>
                      <a:fillRect/>
                    </a:stretch>
                  </pic:blipFill>
                  <pic:spPr>
                    <a:xfrm>
                      <a:off x="0" y="0"/>
                      <a:ext cx="2480251" cy="3321568"/>
                    </a:xfrm>
                    <a:prstGeom prst="rect">
                      <a:avLst/>
                    </a:prstGeom>
                    <a:noFill/>
                    <a:ln>
                      <a:noFill/>
                    </a:ln>
                  </pic:spPr>
                </pic:pic>
              </a:graphicData>
            </a:graphic>
          </wp:inline>
        </w:drawing>
      </w:r>
      <w:r>
        <w:rPr>
          <w:rFonts w:hint="eastAsia" w:ascii="仿宋" w:hAnsi="仿宋" w:eastAsia="仿宋" w:cs="仿宋"/>
          <w:sz w:val="28"/>
          <w:szCs w:val="28"/>
          <w:shd w:val="clear" w:color="auto" w:fill="FFFFFF"/>
        </w:rPr>
        <w:drawing>
          <wp:inline distT="0" distB="0" distL="114300" distR="114300">
            <wp:extent cx="2538095" cy="3297555"/>
            <wp:effectExtent l="0" t="0" r="0" b="0"/>
            <wp:docPr id="22"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2"/>
                    <pic:cNvPicPr>
                      <a:picLocks noChangeAspect="1"/>
                    </pic:cNvPicPr>
                  </pic:nvPicPr>
                  <pic:blipFill>
                    <a:blip r:embed="rId50"/>
                    <a:stretch>
                      <a:fillRect/>
                    </a:stretch>
                  </pic:blipFill>
                  <pic:spPr>
                    <a:xfrm>
                      <a:off x="0" y="0"/>
                      <a:ext cx="2543164" cy="3303972"/>
                    </a:xfrm>
                    <a:prstGeom prst="rect">
                      <a:avLst/>
                    </a:prstGeom>
                    <a:noFill/>
                    <a:ln>
                      <a:noFill/>
                    </a:ln>
                  </pic:spPr>
                </pic:pic>
              </a:graphicData>
            </a:graphic>
          </wp:inline>
        </w:drawing>
      </w:r>
    </w:p>
    <w:p>
      <w:pPr>
        <w:pStyle w:val="11"/>
        <w:shd w:val="clear" w:color="auto" w:fill="FFFFFF"/>
        <w:spacing w:before="0" w:beforeAutospacing="0" w:after="0" w:afterAutospacing="0" w:line="360" w:lineRule="auto"/>
        <w:jc w:val="center"/>
        <w:rPr>
          <w:rFonts w:ascii="仿宋" w:hAnsi="仿宋" w:eastAsia="仿宋" w:cs="Times New Roman"/>
          <w:b/>
          <w:sz w:val="28"/>
          <w:szCs w:val="28"/>
        </w:rPr>
      </w:pPr>
      <w:r>
        <w:rPr>
          <w:rFonts w:hint="eastAsia" w:ascii="仿宋" w:hAnsi="仿宋" w:eastAsia="仿宋" w:cs="Times New Roman"/>
          <w:b/>
          <w:sz w:val="28"/>
          <w:szCs w:val="28"/>
        </w:rPr>
        <w:t>工作室编写校本教材及资源库平台使用记录</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rPr>
      </w:pPr>
      <w:r>
        <w:rPr>
          <w:rFonts w:ascii="仿宋" w:hAnsi="仿宋" w:eastAsia="仿宋" w:cs="Times New Roman"/>
          <w:sz w:val="28"/>
          <w:szCs w:val="28"/>
          <w:shd w:val="clear" w:color="auto" w:fill="FFFFFF"/>
        </w:rPr>
        <w:t>（5）以赛促教、以赛促学、以赛促建</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以赛促教，技能大赛促进专业教师发展；以赛促学，技能大赛促进学生数控专业知识的学习和技能的提高；以赛促建，技能大赛促进机电专业实训室的建设。积极主动参加、承办省、市职业技能大赛，着力营造“尊重劳动、尊重知识、尊重创造、尊重人才”的良好氛围，大力弘扬“劳动光荣、知识崇高、创造伟大、人才可贵”的时代新风，加快构建高技能人才高地。</w:t>
      </w:r>
    </w:p>
    <w:p>
      <w:pPr>
        <w:pStyle w:val="11"/>
        <w:shd w:val="clear" w:color="auto" w:fill="FFFFFF"/>
        <w:spacing w:before="0" w:beforeAutospacing="0" w:after="0" w:afterAutospacing="0" w:line="360" w:lineRule="auto"/>
        <w:jc w:val="center"/>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drawing>
          <wp:inline distT="0" distB="0" distL="114300" distR="114300">
            <wp:extent cx="4930140" cy="3657600"/>
            <wp:effectExtent l="0" t="0" r="3810" b="0"/>
            <wp:docPr id="24"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1"/>
                    <pic:cNvPicPr>
                      <a:picLocks noChangeAspect="1"/>
                    </pic:cNvPicPr>
                  </pic:nvPicPr>
                  <pic:blipFill>
                    <a:blip r:embed="rId51"/>
                    <a:stretch>
                      <a:fillRect/>
                    </a:stretch>
                  </pic:blipFill>
                  <pic:spPr>
                    <a:xfrm>
                      <a:off x="0" y="0"/>
                      <a:ext cx="4930140" cy="3657600"/>
                    </a:xfrm>
                    <a:prstGeom prst="rect">
                      <a:avLst/>
                    </a:prstGeom>
                    <a:noFill/>
                    <a:ln>
                      <a:noFill/>
                    </a:ln>
                  </pic:spPr>
                </pic:pic>
              </a:graphicData>
            </a:graphic>
          </wp:inline>
        </w:drawing>
      </w:r>
    </w:p>
    <w:p>
      <w:pPr>
        <w:pStyle w:val="11"/>
        <w:shd w:val="clear" w:color="auto" w:fill="FFFFFF"/>
        <w:spacing w:before="0" w:beforeAutospacing="0" w:after="0" w:afterAutospacing="0" w:line="360" w:lineRule="auto"/>
        <w:jc w:val="center"/>
        <w:rPr>
          <w:rFonts w:ascii="仿宋" w:hAnsi="仿宋" w:eastAsia="仿宋" w:cs="Times New Roman"/>
          <w:b/>
          <w:sz w:val="28"/>
          <w:szCs w:val="28"/>
        </w:rPr>
      </w:pPr>
      <w:r>
        <w:rPr>
          <w:rFonts w:hint="eastAsia" w:ascii="仿宋" w:hAnsi="仿宋" w:eastAsia="仿宋" w:cs="Times New Roman"/>
          <w:b/>
          <w:sz w:val="28"/>
          <w:szCs w:val="28"/>
        </w:rPr>
        <w:t>工作室成员指导学生技能大赛获奖</w:t>
      </w:r>
    </w:p>
    <w:p>
      <w:pPr>
        <w:pStyle w:val="11"/>
        <w:shd w:val="clear" w:color="auto" w:fill="FFFFFF"/>
        <w:spacing w:before="0" w:beforeAutospacing="0" w:after="0" w:afterAutospacing="0" w:line="360" w:lineRule="auto"/>
        <w:jc w:val="center"/>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drawing>
          <wp:inline distT="0" distB="0" distL="114300" distR="114300">
            <wp:extent cx="4991100" cy="3411855"/>
            <wp:effectExtent l="0" t="0" r="0" b="17145"/>
            <wp:docPr id="27"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1"/>
                    <pic:cNvPicPr>
                      <a:picLocks noChangeAspect="1"/>
                    </pic:cNvPicPr>
                  </pic:nvPicPr>
                  <pic:blipFill>
                    <a:blip r:embed="rId52"/>
                    <a:stretch>
                      <a:fillRect/>
                    </a:stretch>
                  </pic:blipFill>
                  <pic:spPr>
                    <a:xfrm>
                      <a:off x="0" y="0"/>
                      <a:ext cx="4991100" cy="3411855"/>
                    </a:xfrm>
                    <a:prstGeom prst="rect">
                      <a:avLst/>
                    </a:prstGeom>
                    <a:noFill/>
                    <a:ln>
                      <a:noFill/>
                    </a:ln>
                  </pic:spPr>
                </pic:pic>
              </a:graphicData>
            </a:graphic>
          </wp:inline>
        </w:drawing>
      </w:r>
    </w:p>
    <w:p>
      <w:pPr>
        <w:pStyle w:val="11"/>
        <w:shd w:val="clear" w:color="auto" w:fill="FFFFFF"/>
        <w:spacing w:before="0" w:beforeAutospacing="0" w:after="0" w:afterAutospacing="0" w:line="360" w:lineRule="auto"/>
        <w:jc w:val="center"/>
        <w:rPr>
          <w:rFonts w:ascii="仿宋" w:hAnsi="仿宋" w:eastAsia="仿宋" w:cs="Times New Roman"/>
          <w:b/>
          <w:sz w:val="28"/>
          <w:szCs w:val="28"/>
        </w:rPr>
      </w:pPr>
      <w:r>
        <w:rPr>
          <w:rFonts w:hint="eastAsia" w:ascii="仿宋" w:hAnsi="仿宋" w:eastAsia="仿宋" w:cs="Times New Roman"/>
          <w:b/>
          <w:sz w:val="28"/>
          <w:szCs w:val="28"/>
        </w:rPr>
        <w:t>工作室成员技能大赛获奖</w:t>
      </w:r>
    </w:p>
    <w:p>
      <w:pPr>
        <w:spacing w:line="360" w:lineRule="auto"/>
        <w:ind w:firstLine="560" w:firstLineChars="200"/>
        <w:jc w:val="both"/>
        <w:rPr>
          <w:rFonts w:ascii="仿宋" w:hAnsi="仿宋" w:eastAsia="仿宋"/>
          <w:sz w:val="28"/>
          <w:szCs w:val="28"/>
        </w:rPr>
      </w:pPr>
      <w:r>
        <w:rPr>
          <w:rFonts w:hint="eastAsia" w:ascii="仿宋" w:hAnsi="仿宋" w:eastAsia="仿宋"/>
          <w:sz w:val="28"/>
          <w:szCs w:val="28"/>
        </w:rPr>
        <w:t>四、实施保障</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rPr>
      </w:pPr>
      <w:r>
        <w:rPr>
          <w:rFonts w:ascii="仿宋" w:hAnsi="仿宋" w:eastAsia="仿宋" w:cs="Times New Roman"/>
          <w:sz w:val="28"/>
          <w:szCs w:val="28"/>
          <w:shd w:val="clear" w:color="auto" w:fill="FFFFFF"/>
        </w:rPr>
        <w:t>为了保障名师工作室的顺利实施，大力支持我市职业教育名师团队建设，我校建立和完善组织、制度、人员和资金等关键因素的保障体制，确保名师工作室的稳步顺利推进。</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rPr>
      </w:pPr>
      <w:r>
        <w:rPr>
          <w:rFonts w:ascii="仿宋" w:hAnsi="仿宋" w:eastAsia="仿宋" w:cs="Times New Roman"/>
          <w:sz w:val="28"/>
          <w:szCs w:val="28"/>
          <w:shd w:val="clear" w:color="auto" w:fill="FFFFFF"/>
        </w:rPr>
        <w:t>（一）组织保障</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rPr>
      </w:pPr>
      <w:r>
        <w:rPr>
          <w:rFonts w:ascii="仿宋" w:hAnsi="仿宋" w:eastAsia="仿宋" w:cs="Times New Roman"/>
          <w:sz w:val="28"/>
          <w:szCs w:val="28"/>
          <w:shd w:val="clear" w:color="auto" w:fill="FFFFFF"/>
        </w:rPr>
        <w:t>成立以局领导为核心、名师工作室主持人为项目负责人的领导核心和质量保证小组，负责组织名师工作室建设管理及考核评价工作。</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（二）制度保障</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rPr>
      </w:pPr>
      <w:r>
        <w:rPr>
          <w:rFonts w:ascii="仿宋" w:hAnsi="仿宋" w:eastAsia="仿宋" w:cs="Times New Roman"/>
          <w:sz w:val="28"/>
          <w:szCs w:val="28"/>
          <w:shd w:val="clear" w:color="auto" w:fill="FFFFFF"/>
        </w:rPr>
        <w:t>1</w:t>
      </w:r>
      <w:r>
        <w:rPr>
          <w:rFonts w:hint="eastAsia" w:ascii="仿宋" w:hAnsi="仿宋" w:eastAsia="仿宋" w:cs="Times New Roman"/>
          <w:sz w:val="28"/>
          <w:szCs w:val="28"/>
          <w:shd w:val="clear" w:color="auto" w:fill="FFFFFF"/>
        </w:rPr>
        <w:t>.</w:t>
      </w:r>
      <w:r>
        <w:rPr>
          <w:rFonts w:ascii="仿宋" w:hAnsi="仿宋" w:eastAsia="仿宋" w:cs="Times New Roman"/>
          <w:sz w:val="28"/>
          <w:szCs w:val="28"/>
          <w:shd w:val="clear" w:color="auto" w:fill="FFFFFF"/>
        </w:rPr>
        <w:t>导师培养负责制</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rPr>
      </w:pPr>
      <w:r>
        <w:rPr>
          <w:rFonts w:ascii="仿宋" w:hAnsi="仿宋" w:eastAsia="仿宋" w:cs="Times New Roman"/>
          <w:sz w:val="28"/>
          <w:szCs w:val="28"/>
          <w:shd w:val="clear" w:color="auto" w:fill="FFFFFF"/>
        </w:rPr>
        <w:t>以名师工作室主持人为导师，实行导师培养负责制，导师要为成员量身制订成长方案，促使其成长为在某一方面学有专长、术有专攻的名教师。</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2</w:t>
      </w:r>
      <w:r>
        <w:rPr>
          <w:rFonts w:hint="eastAsia" w:ascii="仿宋" w:hAnsi="仿宋" w:eastAsia="仿宋" w:cs="Times New Roman"/>
          <w:sz w:val="28"/>
          <w:szCs w:val="28"/>
          <w:shd w:val="clear" w:color="auto" w:fill="FFFFFF"/>
        </w:rPr>
        <w:t>.</w:t>
      </w:r>
      <w:r>
        <w:rPr>
          <w:rFonts w:ascii="仿宋" w:hAnsi="仿宋" w:eastAsia="仿宋" w:cs="Times New Roman"/>
          <w:sz w:val="28"/>
          <w:szCs w:val="28"/>
          <w:shd w:val="clear" w:color="auto" w:fill="FFFFFF"/>
        </w:rPr>
        <w:t>项目领衔制</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rPr>
      </w:pPr>
      <w:r>
        <w:rPr>
          <w:rFonts w:ascii="仿宋" w:hAnsi="仿宋" w:eastAsia="仿宋" w:cs="Times New Roman"/>
          <w:sz w:val="28"/>
          <w:szCs w:val="28"/>
          <w:shd w:val="clear" w:color="auto" w:fill="FFFFFF"/>
        </w:rPr>
        <w:t>工作室以主持人专长为基础，以工作室群体成员智慧为依托，开展教育教学项目研究。建设中有项目研究、有示范课、有讲座、有理论学习、有专题沙龙等等。</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3</w:t>
      </w:r>
      <w:r>
        <w:rPr>
          <w:rFonts w:hint="eastAsia" w:ascii="仿宋" w:hAnsi="仿宋" w:eastAsia="仿宋" w:cs="Times New Roman"/>
          <w:sz w:val="28"/>
          <w:szCs w:val="28"/>
          <w:shd w:val="clear" w:color="auto" w:fill="FFFFFF"/>
        </w:rPr>
        <w:t>.</w:t>
      </w:r>
      <w:r>
        <w:rPr>
          <w:rFonts w:ascii="仿宋" w:hAnsi="仿宋" w:eastAsia="仿宋" w:cs="Times New Roman"/>
          <w:sz w:val="28"/>
          <w:szCs w:val="28"/>
          <w:shd w:val="clear" w:color="auto" w:fill="FFFFFF"/>
        </w:rPr>
        <w:t>成果输出制</w:t>
      </w:r>
    </w:p>
    <w:p>
      <w:pPr>
        <w:pStyle w:val="11"/>
        <w:widowControl w:val="0"/>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项目研究成果应以论文、专著、研讨会、报告会、名师论坛、公开课等形式显现出来，并向外辐射、示范。工作室在工作周期内应培养出一定数量的骨干教师。</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rPr>
      </w:pPr>
      <w:r>
        <w:rPr>
          <w:rFonts w:ascii="仿宋" w:hAnsi="仿宋" w:eastAsia="仿宋" w:cs="Times New Roman"/>
          <w:sz w:val="28"/>
          <w:szCs w:val="28"/>
          <w:shd w:val="clear" w:color="auto" w:fill="FFFFFF"/>
        </w:rPr>
        <w:t>（三）资金保障</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rPr>
      </w:pPr>
      <w:r>
        <w:rPr>
          <w:rFonts w:ascii="仿宋" w:hAnsi="仿宋" w:eastAsia="仿宋" w:cs="Times New Roman"/>
          <w:sz w:val="28"/>
          <w:szCs w:val="28"/>
          <w:shd w:val="clear" w:color="auto" w:fill="FFFFFF"/>
        </w:rPr>
        <w:t>依托省教育厅、财政厅投入经费与学校多方筹措资金用于名师工作室建设。</w:t>
      </w:r>
    </w:p>
    <w:p>
      <w:pPr>
        <w:spacing w:line="360" w:lineRule="auto"/>
        <w:ind w:firstLine="560" w:firstLineChars="200"/>
        <w:jc w:val="both"/>
        <w:rPr>
          <w:rFonts w:ascii="仿宋" w:hAnsi="仿宋" w:eastAsia="仿宋"/>
          <w:sz w:val="28"/>
          <w:szCs w:val="28"/>
        </w:rPr>
      </w:pPr>
      <w:r>
        <w:rPr>
          <w:rFonts w:hint="eastAsia" w:ascii="仿宋" w:hAnsi="仿宋" w:eastAsia="仿宋"/>
          <w:sz w:val="28"/>
          <w:szCs w:val="28"/>
        </w:rPr>
        <w:t>五、实际成果、成效及推广</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rPr>
      </w:pPr>
      <w:r>
        <w:rPr>
          <w:rFonts w:ascii="仿宋" w:hAnsi="仿宋" w:eastAsia="仿宋" w:cs="Times New Roman"/>
          <w:sz w:val="28"/>
          <w:szCs w:val="28"/>
          <w:shd w:val="clear" w:color="auto" w:fill="FFFFFF"/>
        </w:rPr>
        <w:t>工作室重视参与实训基地建设，促进了校企合作、工学结合的办学模式和教学模式改革，通过企业参与人才培养的全过程，建立起校企合作的长效机制。以工作室建设为依托，结合行业、专业特点，完善课程体系建设，更新教学内容，丰富教学方式方法，基于互联网技术的不断发展，信息化教学技术和手段的推广和应用，不断提升教学方法和教学内容的改革，增加网络教学资源的数量和质量，提高教学过程的参与度，进一步完善教学考核评价体系，从而提高教学质量，使学生综合素质、实践能力和创新能力显著提高，通过专业基地建设，进一步完善了“教、学、做”三者的统一。</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hint="eastAsia" w:ascii="仿宋" w:hAnsi="仿宋" w:eastAsia="仿宋" w:cs="Times New Roman"/>
          <w:sz w:val="28"/>
          <w:szCs w:val="28"/>
          <w:shd w:val="clear" w:color="auto" w:fill="FFFFFF"/>
        </w:rPr>
        <w:t>（一）</w:t>
      </w:r>
      <w:r>
        <w:rPr>
          <w:rFonts w:ascii="仿宋" w:hAnsi="仿宋" w:eastAsia="仿宋" w:cs="Times New Roman"/>
          <w:sz w:val="28"/>
          <w:szCs w:val="28"/>
          <w:shd w:val="clear" w:color="auto" w:fill="FFFFFF"/>
        </w:rPr>
        <w:t>深入企业精准调研</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职业教育要以培养应用技术型人才为目标，这就要求职业教育的师资队伍建设要适应现代职业教育的新要求，所以开展调研工作非常重要。为了扩大教师视野，机电名师工作室组织全体成员深入山西上捷电梯、正宇电气两家比较有代表性的企业，了解电气类和机械加工类企业生产发展最新动态，了解生产过程新工艺、新方法，了解企业的用工需求，了解企业的痛点和难点，深入企业实践20个工作日，完成关于职业教育政策论文7篇。企业实践后，结合调研情况形成调研报告，体现了调研的专业性、精准性，因此要想精准的培养一支名师队伍，先要认真看，认真听，认真想，认真做才能落到实处。</w:t>
      </w:r>
    </w:p>
    <w:p>
      <w:pPr>
        <w:pStyle w:val="11"/>
        <w:shd w:val="clear" w:color="auto" w:fill="FFFFFF"/>
        <w:spacing w:before="0" w:beforeAutospacing="0" w:after="0" w:afterAutospacing="0" w:line="360" w:lineRule="auto"/>
        <w:jc w:val="center"/>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drawing>
          <wp:inline distT="0" distB="0" distL="114300" distR="114300">
            <wp:extent cx="2332355" cy="1861820"/>
            <wp:effectExtent l="0" t="0" r="10795" b="5080"/>
            <wp:docPr id="28"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1"/>
                    <pic:cNvPicPr>
                      <a:picLocks noChangeAspect="1"/>
                    </pic:cNvPicPr>
                  </pic:nvPicPr>
                  <pic:blipFill>
                    <a:blip r:embed="rId53"/>
                    <a:stretch>
                      <a:fillRect/>
                    </a:stretch>
                  </pic:blipFill>
                  <pic:spPr>
                    <a:xfrm>
                      <a:off x="0" y="0"/>
                      <a:ext cx="2332355" cy="1861820"/>
                    </a:xfrm>
                    <a:prstGeom prst="rect">
                      <a:avLst/>
                    </a:prstGeom>
                    <a:noFill/>
                    <a:ln>
                      <a:noFill/>
                    </a:ln>
                  </pic:spPr>
                </pic:pic>
              </a:graphicData>
            </a:graphic>
          </wp:inline>
        </w:drawing>
      </w:r>
      <w:r>
        <w:rPr>
          <w:rFonts w:hint="eastAsia" w:ascii="仿宋" w:hAnsi="仿宋" w:eastAsia="仿宋" w:cs="仿宋"/>
          <w:sz w:val="28"/>
          <w:szCs w:val="28"/>
          <w:shd w:val="clear" w:color="auto" w:fill="FFFFFF"/>
        </w:rPr>
        <w:t xml:space="preserve"> </w:t>
      </w:r>
      <w:r>
        <w:rPr>
          <w:rFonts w:hint="eastAsia" w:ascii="仿宋" w:hAnsi="仿宋" w:eastAsia="仿宋" w:cs="仿宋"/>
          <w:sz w:val="28"/>
          <w:szCs w:val="28"/>
          <w:shd w:val="clear" w:color="auto" w:fill="FFFFFF"/>
        </w:rPr>
        <w:drawing>
          <wp:inline distT="0" distB="0" distL="114300" distR="114300">
            <wp:extent cx="2619375" cy="1829435"/>
            <wp:effectExtent l="0" t="0" r="9525" b="18415"/>
            <wp:docPr id="29"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descr="2"/>
                    <pic:cNvPicPr>
                      <a:picLocks noChangeAspect="1"/>
                    </pic:cNvPicPr>
                  </pic:nvPicPr>
                  <pic:blipFill>
                    <a:blip r:embed="rId54"/>
                    <a:stretch>
                      <a:fillRect/>
                    </a:stretch>
                  </pic:blipFill>
                  <pic:spPr>
                    <a:xfrm>
                      <a:off x="0" y="0"/>
                      <a:ext cx="2619375" cy="1829435"/>
                    </a:xfrm>
                    <a:prstGeom prst="rect">
                      <a:avLst/>
                    </a:prstGeom>
                    <a:noFill/>
                    <a:ln>
                      <a:noFill/>
                    </a:ln>
                  </pic:spPr>
                </pic:pic>
              </a:graphicData>
            </a:graphic>
          </wp:inline>
        </w:drawing>
      </w:r>
    </w:p>
    <w:p>
      <w:pPr>
        <w:pStyle w:val="11"/>
        <w:shd w:val="clear" w:color="auto" w:fill="FFFFFF"/>
        <w:spacing w:before="0" w:beforeAutospacing="0" w:after="0" w:afterAutospacing="0" w:line="360" w:lineRule="auto"/>
        <w:jc w:val="center"/>
        <w:rPr>
          <w:rFonts w:ascii="仿宋" w:hAnsi="仿宋" w:eastAsia="仿宋" w:cs="Times New Roman"/>
          <w:b/>
          <w:sz w:val="28"/>
          <w:szCs w:val="28"/>
        </w:rPr>
      </w:pPr>
      <w:r>
        <w:rPr>
          <w:rFonts w:hint="eastAsia" w:ascii="仿宋" w:hAnsi="仿宋" w:eastAsia="仿宋" w:cs="Times New Roman"/>
          <w:b/>
          <w:sz w:val="28"/>
          <w:szCs w:val="28"/>
        </w:rPr>
        <w:t>工作室成员入企实践及调研</w:t>
      </w:r>
    </w:p>
    <w:p>
      <w:pPr>
        <w:pStyle w:val="11"/>
        <w:shd w:val="clear" w:color="auto" w:fill="FFFFFF"/>
        <w:spacing w:before="0" w:beforeAutospacing="0" w:after="0" w:afterAutospacing="0" w:line="360" w:lineRule="auto"/>
        <w:ind w:firstLine="560" w:firstLineChars="200"/>
        <w:jc w:val="both"/>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（二）参与企业新产品研发、技术改造、流程再造和转型发展提供服务</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申请电梯检测装置、角连接组合钢结构、电梯广告展示板等3项专利，不断提高创新能力和服务能力。名师工作室成员被聘请为上捷电梯生产部技术顾问，建立对口学习帮扶小组3个（户外电梯、电梯制造、产品研发），小组的成立为企业发展提供了人才和技术服务，只有深入参与企业生产与技术研发，通过项目捆绑、技术组队等形式才能打造出又专又红的机电名师。</w:t>
      </w:r>
    </w:p>
    <w:p>
      <w:pPr>
        <w:pStyle w:val="11"/>
        <w:shd w:val="clear" w:color="auto" w:fill="FFFFFF"/>
        <w:spacing w:before="0" w:beforeAutospacing="0" w:after="0" w:afterAutospacing="0" w:line="360" w:lineRule="auto"/>
        <w:jc w:val="both"/>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drawing>
          <wp:inline distT="0" distB="0" distL="114300" distR="114300">
            <wp:extent cx="2564765" cy="1924685"/>
            <wp:effectExtent l="0" t="0" r="6985" b="18415"/>
            <wp:docPr id="30"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descr="1"/>
                    <pic:cNvPicPr>
                      <a:picLocks noChangeAspect="1"/>
                    </pic:cNvPicPr>
                  </pic:nvPicPr>
                  <pic:blipFill>
                    <a:blip r:embed="rId55"/>
                    <a:stretch>
                      <a:fillRect/>
                    </a:stretch>
                  </pic:blipFill>
                  <pic:spPr>
                    <a:xfrm>
                      <a:off x="0" y="0"/>
                      <a:ext cx="2564765" cy="1924685"/>
                    </a:xfrm>
                    <a:prstGeom prst="rect">
                      <a:avLst/>
                    </a:prstGeom>
                    <a:noFill/>
                    <a:ln>
                      <a:noFill/>
                    </a:ln>
                  </pic:spPr>
                </pic:pic>
              </a:graphicData>
            </a:graphic>
          </wp:inline>
        </w:drawing>
      </w:r>
      <w:r>
        <w:rPr>
          <w:rFonts w:hint="eastAsia" w:ascii="仿宋" w:hAnsi="仿宋" w:eastAsia="仿宋" w:cs="仿宋"/>
          <w:sz w:val="28"/>
          <w:szCs w:val="28"/>
          <w:shd w:val="clear" w:color="auto" w:fill="FFFFFF"/>
        </w:rPr>
        <w:t xml:space="preserve"> </w:t>
      </w:r>
      <w:r>
        <w:rPr>
          <w:rFonts w:hint="eastAsia" w:ascii="仿宋" w:hAnsi="仿宋" w:eastAsia="仿宋" w:cs="仿宋"/>
          <w:sz w:val="28"/>
          <w:szCs w:val="28"/>
          <w:shd w:val="clear" w:color="auto" w:fill="FFFFFF"/>
        </w:rPr>
        <w:drawing>
          <wp:inline distT="0" distB="0" distL="114300" distR="114300">
            <wp:extent cx="2593340" cy="1945005"/>
            <wp:effectExtent l="0" t="0" r="16510" b="17145"/>
            <wp:docPr id="31"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descr="2"/>
                    <pic:cNvPicPr>
                      <a:picLocks noChangeAspect="1"/>
                    </pic:cNvPicPr>
                  </pic:nvPicPr>
                  <pic:blipFill>
                    <a:blip r:embed="rId56"/>
                    <a:stretch>
                      <a:fillRect/>
                    </a:stretch>
                  </pic:blipFill>
                  <pic:spPr>
                    <a:xfrm>
                      <a:off x="0" y="0"/>
                      <a:ext cx="2593340" cy="1945005"/>
                    </a:xfrm>
                    <a:prstGeom prst="rect">
                      <a:avLst/>
                    </a:prstGeom>
                    <a:noFill/>
                    <a:ln>
                      <a:noFill/>
                    </a:ln>
                  </pic:spPr>
                </pic:pic>
              </a:graphicData>
            </a:graphic>
          </wp:inline>
        </w:drawing>
      </w:r>
    </w:p>
    <w:p>
      <w:pPr>
        <w:pStyle w:val="11"/>
        <w:shd w:val="clear" w:color="auto" w:fill="FFFFFF"/>
        <w:spacing w:before="0" w:beforeAutospacing="0" w:after="0" w:afterAutospacing="0" w:line="360" w:lineRule="auto"/>
        <w:jc w:val="center"/>
        <w:rPr>
          <w:rFonts w:ascii="仿宋" w:hAnsi="仿宋" w:eastAsia="仿宋" w:cs="Times New Roman"/>
          <w:b/>
          <w:sz w:val="28"/>
          <w:szCs w:val="28"/>
        </w:rPr>
      </w:pPr>
      <w:r>
        <w:rPr>
          <w:rFonts w:hint="eastAsia" w:ascii="仿宋" w:hAnsi="仿宋" w:eastAsia="仿宋" w:cs="Times New Roman"/>
          <w:b/>
          <w:sz w:val="28"/>
          <w:szCs w:val="28"/>
        </w:rPr>
        <w:t>工作室专利申请研讨会</w:t>
      </w:r>
    </w:p>
    <w:p>
      <w:pPr>
        <w:pStyle w:val="11"/>
        <w:shd w:val="clear" w:color="auto" w:fill="FFFFFF"/>
        <w:spacing w:before="0" w:beforeAutospacing="0" w:after="0" w:afterAutospacing="0" w:line="360" w:lineRule="auto"/>
        <w:ind w:firstLine="560" w:firstLineChars="200"/>
        <w:jc w:val="both"/>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（三）开展教育教学改革和教育研究研讨活动</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结合产业实际，总结现代学徒制典型案例1份，为我市产教融合机制建立探索新路。引导成员单位专业骨干积极组织和参加特色教材的编写工作，形成</w:t>
      </w:r>
      <w:r>
        <w:rPr>
          <w:rFonts w:hint="eastAsia" w:ascii="仿宋" w:hAnsi="仿宋" w:eastAsia="仿宋" w:cs="Times New Roman"/>
          <w:sz w:val="28"/>
          <w:szCs w:val="28"/>
          <w:shd w:val="clear" w:color="auto" w:fill="FFFFFF"/>
        </w:rPr>
        <w:t>《</w:t>
      </w:r>
      <w:r>
        <w:rPr>
          <w:rFonts w:ascii="仿宋" w:hAnsi="仿宋" w:eastAsia="仿宋" w:cs="Times New Roman"/>
          <w:sz w:val="28"/>
          <w:szCs w:val="28"/>
          <w:shd w:val="clear" w:color="auto" w:fill="FFFFFF"/>
        </w:rPr>
        <w:t>电梯维修保养岗位标准</w:t>
      </w:r>
      <w:r>
        <w:rPr>
          <w:rFonts w:hint="eastAsia" w:ascii="仿宋" w:hAnsi="仿宋" w:eastAsia="仿宋" w:cs="Times New Roman"/>
          <w:sz w:val="28"/>
          <w:szCs w:val="28"/>
          <w:shd w:val="clear" w:color="auto" w:fill="FFFFFF"/>
        </w:rPr>
        <w:t>》《</w:t>
      </w:r>
      <w:r>
        <w:rPr>
          <w:rFonts w:ascii="仿宋" w:hAnsi="仿宋" w:eastAsia="仿宋" w:cs="Times New Roman"/>
          <w:sz w:val="28"/>
          <w:szCs w:val="28"/>
          <w:shd w:val="clear" w:color="auto" w:fill="FFFFFF"/>
        </w:rPr>
        <w:t>自动扶梯岗位标准</w:t>
      </w:r>
      <w:r>
        <w:rPr>
          <w:rFonts w:hint="eastAsia" w:ascii="仿宋" w:hAnsi="仿宋" w:eastAsia="仿宋" w:cs="Times New Roman"/>
          <w:sz w:val="28"/>
          <w:szCs w:val="28"/>
          <w:shd w:val="clear" w:color="auto" w:fill="FFFFFF"/>
        </w:rPr>
        <w:t>》</w:t>
      </w:r>
      <w:r>
        <w:rPr>
          <w:rFonts w:ascii="仿宋" w:hAnsi="仿宋" w:eastAsia="仿宋" w:cs="Times New Roman"/>
          <w:sz w:val="28"/>
          <w:szCs w:val="28"/>
          <w:shd w:val="clear" w:color="auto" w:fill="FFFFFF"/>
        </w:rPr>
        <w:t>2本特色教材，所以名师要善于反思，善于总结，这样才能有成熟的经验和标准，起到向其它教师的辐射作用，使他们愿加入、愿付出、愿结果。</w:t>
      </w:r>
    </w:p>
    <w:p>
      <w:pPr>
        <w:pStyle w:val="11"/>
        <w:shd w:val="clear" w:color="auto" w:fill="FFFFFF"/>
        <w:spacing w:before="0" w:beforeAutospacing="0" w:after="0" w:afterAutospacing="0" w:line="360" w:lineRule="auto"/>
        <w:jc w:val="center"/>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drawing>
          <wp:inline distT="0" distB="0" distL="114300" distR="114300">
            <wp:extent cx="1918335" cy="2171065"/>
            <wp:effectExtent l="0" t="0" r="5715" b="635"/>
            <wp:docPr id="33"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descr="1"/>
                    <pic:cNvPicPr>
                      <a:picLocks noChangeAspect="1"/>
                    </pic:cNvPicPr>
                  </pic:nvPicPr>
                  <pic:blipFill>
                    <a:blip r:embed="rId57"/>
                    <a:stretch>
                      <a:fillRect/>
                    </a:stretch>
                  </pic:blipFill>
                  <pic:spPr>
                    <a:xfrm>
                      <a:off x="0" y="0"/>
                      <a:ext cx="1918335" cy="2171065"/>
                    </a:xfrm>
                    <a:prstGeom prst="rect">
                      <a:avLst/>
                    </a:prstGeom>
                    <a:noFill/>
                    <a:ln>
                      <a:noFill/>
                    </a:ln>
                  </pic:spPr>
                </pic:pic>
              </a:graphicData>
            </a:graphic>
          </wp:inline>
        </w:drawing>
      </w:r>
      <w:r>
        <w:rPr>
          <w:rFonts w:hint="eastAsia" w:ascii="仿宋" w:hAnsi="仿宋" w:eastAsia="仿宋" w:cs="仿宋"/>
          <w:sz w:val="28"/>
          <w:szCs w:val="28"/>
          <w:shd w:val="clear" w:color="auto" w:fill="FFFFFF"/>
        </w:rPr>
        <w:drawing>
          <wp:inline distT="0" distB="0" distL="114300" distR="114300">
            <wp:extent cx="1576070" cy="2160270"/>
            <wp:effectExtent l="0" t="0" r="5080" b="11430"/>
            <wp:docPr id="35" name="图片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descr="2"/>
                    <pic:cNvPicPr>
                      <a:picLocks noChangeAspect="1"/>
                    </pic:cNvPicPr>
                  </pic:nvPicPr>
                  <pic:blipFill>
                    <a:blip r:embed="rId58"/>
                    <a:stretch>
                      <a:fillRect/>
                    </a:stretch>
                  </pic:blipFill>
                  <pic:spPr>
                    <a:xfrm>
                      <a:off x="0" y="0"/>
                      <a:ext cx="1576070" cy="2160270"/>
                    </a:xfrm>
                    <a:prstGeom prst="rect">
                      <a:avLst/>
                    </a:prstGeom>
                    <a:noFill/>
                    <a:ln>
                      <a:noFill/>
                    </a:ln>
                  </pic:spPr>
                </pic:pic>
              </a:graphicData>
            </a:graphic>
          </wp:inline>
        </w:drawing>
      </w:r>
      <w:r>
        <w:rPr>
          <w:rFonts w:hint="eastAsia" w:ascii="仿宋" w:hAnsi="仿宋" w:eastAsia="仿宋" w:cs="仿宋"/>
          <w:sz w:val="28"/>
          <w:szCs w:val="28"/>
          <w:shd w:val="clear" w:color="auto" w:fill="FFFFFF"/>
        </w:rPr>
        <w:t xml:space="preserve"> </w:t>
      </w:r>
      <w:r>
        <w:rPr>
          <w:rFonts w:hint="eastAsia" w:ascii="仿宋" w:hAnsi="仿宋" w:eastAsia="仿宋" w:cs="仿宋"/>
          <w:sz w:val="28"/>
          <w:szCs w:val="28"/>
          <w:shd w:val="clear" w:color="auto" w:fill="FFFFFF"/>
        </w:rPr>
        <w:drawing>
          <wp:inline distT="0" distB="0" distL="114300" distR="114300">
            <wp:extent cx="1614805" cy="2160905"/>
            <wp:effectExtent l="0" t="0" r="4445" b="10795"/>
            <wp:docPr id="37" name="图片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descr="3"/>
                    <pic:cNvPicPr>
                      <a:picLocks noChangeAspect="1"/>
                    </pic:cNvPicPr>
                  </pic:nvPicPr>
                  <pic:blipFill>
                    <a:blip r:embed="rId49"/>
                    <a:stretch>
                      <a:fillRect/>
                    </a:stretch>
                  </pic:blipFill>
                  <pic:spPr>
                    <a:xfrm>
                      <a:off x="0" y="0"/>
                      <a:ext cx="1614805" cy="2160905"/>
                    </a:xfrm>
                    <a:prstGeom prst="rect">
                      <a:avLst/>
                    </a:prstGeom>
                    <a:noFill/>
                    <a:ln>
                      <a:noFill/>
                    </a:ln>
                  </pic:spPr>
                </pic:pic>
              </a:graphicData>
            </a:graphic>
          </wp:inline>
        </w:drawing>
      </w:r>
    </w:p>
    <w:p>
      <w:pPr>
        <w:pStyle w:val="11"/>
        <w:shd w:val="clear" w:color="auto" w:fill="FFFFFF"/>
        <w:spacing w:before="0" w:beforeAutospacing="0" w:after="0" w:afterAutospacing="0" w:line="360" w:lineRule="auto"/>
        <w:jc w:val="center"/>
        <w:rPr>
          <w:rFonts w:ascii="仿宋" w:hAnsi="仿宋" w:eastAsia="仿宋" w:cs="Times New Roman"/>
          <w:b/>
          <w:sz w:val="28"/>
          <w:szCs w:val="28"/>
        </w:rPr>
      </w:pPr>
      <w:r>
        <w:rPr>
          <w:rFonts w:hint="eastAsia" w:ascii="仿宋" w:hAnsi="仿宋" w:eastAsia="仿宋" w:cs="Times New Roman"/>
          <w:b/>
          <w:sz w:val="28"/>
          <w:szCs w:val="28"/>
        </w:rPr>
        <w:t>现代学徒制成果及校本教材</w:t>
      </w:r>
    </w:p>
    <w:p>
      <w:pPr>
        <w:pStyle w:val="11"/>
        <w:shd w:val="clear" w:color="auto" w:fill="FFFFFF"/>
        <w:spacing w:before="0" w:beforeAutospacing="0" w:after="0" w:afterAutospacing="0" w:line="360" w:lineRule="auto"/>
        <w:ind w:firstLine="560" w:firstLineChars="200"/>
        <w:jc w:val="both"/>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（四）建设精品课</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工作室聚焦专业方向，以创新团队为依托，开展校际协作，深度参与对16门机电类课程标准的修订工作，避免各校重复建设，浪费精力，使部颁机电专业公共专业课程课程标准标准化，让更多的学校和企业兼职教师受益，扩大影响力。共享、共建、共荣辱，发挥团队精神才能使队伍建设标准化。</w:t>
      </w:r>
    </w:p>
    <w:p>
      <w:pPr>
        <w:pStyle w:val="11"/>
        <w:shd w:val="clear" w:color="auto" w:fill="FFFFFF"/>
        <w:spacing w:before="0" w:beforeAutospacing="0" w:after="0" w:afterAutospacing="0" w:line="360" w:lineRule="auto"/>
        <w:jc w:val="center"/>
        <w:rPr>
          <w:rFonts w:ascii="仿宋" w:hAnsi="仿宋" w:eastAsia="仿宋" w:cs="仿宋"/>
          <w:sz w:val="28"/>
          <w:szCs w:val="28"/>
          <w:shd w:val="clear" w:color="auto" w:fill="FFFFFF"/>
        </w:rPr>
      </w:pPr>
      <w:r>
        <w:rPr>
          <w:rFonts w:ascii="仿宋" w:hAnsi="仿宋" w:eastAsia="仿宋" w:cs="仿宋"/>
          <w:sz w:val="28"/>
          <w:szCs w:val="28"/>
          <w:shd w:val="clear" w:color="auto" w:fill="FFFFFF"/>
        </w:rPr>
        <w:drawing>
          <wp:inline distT="0" distB="0" distL="114300" distR="114300">
            <wp:extent cx="2477135" cy="3248660"/>
            <wp:effectExtent l="0" t="0" r="18415" b="8890"/>
            <wp:docPr id="40" name="图片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descr="1"/>
                    <pic:cNvPicPr>
                      <a:picLocks noChangeAspect="1"/>
                    </pic:cNvPicPr>
                  </pic:nvPicPr>
                  <pic:blipFill>
                    <a:blip r:embed="rId59"/>
                    <a:stretch>
                      <a:fillRect/>
                    </a:stretch>
                  </pic:blipFill>
                  <pic:spPr>
                    <a:xfrm>
                      <a:off x="0" y="0"/>
                      <a:ext cx="2477135" cy="3248660"/>
                    </a:xfrm>
                    <a:prstGeom prst="rect">
                      <a:avLst/>
                    </a:prstGeom>
                    <a:noFill/>
                    <a:ln>
                      <a:noFill/>
                    </a:ln>
                  </pic:spPr>
                </pic:pic>
              </a:graphicData>
            </a:graphic>
          </wp:inline>
        </w:drawing>
      </w:r>
      <w:r>
        <w:rPr>
          <w:rFonts w:hint="eastAsia" w:ascii="仿宋" w:hAnsi="仿宋" w:eastAsia="仿宋" w:cs="仿宋"/>
          <w:sz w:val="28"/>
          <w:szCs w:val="28"/>
          <w:shd w:val="clear" w:color="auto" w:fill="FFFFFF"/>
        </w:rPr>
        <w:t xml:space="preserve">  </w:t>
      </w:r>
      <w:r>
        <w:rPr>
          <w:rFonts w:hint="eastAsia" w:ascii="仿宋" w:hAnsi="仿宋" w:eastAsia="仿宋" w:cs="仿宋"/>
          <w:sz w:val="28"/>
          <w:szCs w:val="28"/>
          <w:shd w:val="clear" w:color="auto" w:fill="FFFFFF"/>
        </w:rPr>
        <w:drawing>
          <wp:inline distT="0" distB="0" distL="114300" distR="114300">
            <wp:extent cx="2494280" cy="3249930"/>
            <wp:effectExtent l="0" t="0" r="1270" b="7620"/>
            <wp:docPr id="41" name="图片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descr="2"/>
                    <pic:cNvPicPr>
                      <a:picLocks noChangeAspect="1"/>
                    </pic:cNvPicPr>
                  </pic:nvPicPr>
                  <pic:blipFill>
                    <a:blip r:embed="rId60"/>
                    <a:stretch>
                      <a:fillRect/>
                    </a:stretch>
                  </pic:blipFill>
                  <pic:spPr>
                    <a:xfrm>
                      <a:off x="0" y="0"/>
                      <a:ext cx="2494280" cy="3249930"/>
                    </a:xfrm>
                    <a:prstGeom prst="rect">
                      <a:avLst/>
                    </a:prstGeom>
                    <a:noFill/>
                    <a:ln>
                      <a:noFill/>
                    </a:ln>
                  </pic:spPr>
                </pic:pic>
              </a:graphicData>
            </a:graphic>
          </wp:inline>
        </w:drawing>
      </w:r>
    </w:p>
    <w:p>
      <w:pPr>
        <w:pStyle w:val="11"/>
        <w:shd w:val="clear" w:color="auto" w:fill="FFFFFF"/>
        <w:spacing w:before="0" w:beforeAutospacing="0" w:after="0" w:afterAutospacing="0" w:line="360" w:lineRule="auto"/>
        <w:jc w:val="center"/>
        <w:rPr>
          <w:rFonts w:ascii="仿宋" w:hAnsi="仿宋" w:eastAsia="仿宋" w:cs="仿宋"/>
          <w:sz w:val="28"/>
          <w:szCs w:val="28"/>
          <w:shd w:val="clear" w:color="auto" w:fill="FFFFFF"/>
        </w:rPr>
      </w:pPr>
      <w:r>
        <w:rPr>
          <w:rFonts w:hint="eastAsia" w:ascii="仿宋" w:hAnsi="仿宋" w:eastAsia="仿宋" w:cs="Times New Roman"/>
          <w:b/>
          <w:sz w:val="28"/>
          <w:szCs w:val="28"/>
        </w:rPr>
        <w:t>课程标准及样例</w:t>
      </w:r>
    </w:p>
    <w:p>
      <w:pPr>
        <w:pStyle w:val="11"/>
        <w:shd w:val="clear" w:color="auto" w:fill="FFFFFF"/>
        <w:spacing w:before="0" w:beforeAutospacing="0" w:after="0" w:afterAutospacing="0" w:line="360" w:lineRule="auto"/>
        <w:ind w:firstLine="560" w:firstLineChars="20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（五）重视技能大赛，突出技能大赛在职业学校中的地位，建立科学的技能训练体系和常态培养机制。</w:t>
      </w:r>
    </w:p>
    <w:p>
      <w:pPr>
        <w:pStyle w:val="11"/>
        <w:shd w:val="clear" w:color="auto" w:fill="FFFFFF"/>
        <w:spacing w:before="0" w:beforeAutospacing="0" w:after="0" w:afterAutospacing="0" w:line="360" w:lineRule="auto"/>
        <w:ind w:firstLine="560" w:firstLineChars="200"/>
        <w:rPr>
          <w:rFonts w:ascii="仿宋" w:hAnsi="仿宋" w:eastAsia="仿宋" w:cs="Times New Roman"/>
          <w:sz w:val="28"/>
          <w:szCs w:val="28"/>
          <w:shd w:val="clear" w:color="auto" w:fill="FFFFFF"/>
        </w:rPr>
      </w:pPr>
      <w:r>
        <w:rPr>
          <w:rFonts w:ascii="仿宋" w:hAnsi="仿宋" w:eastAsia="仿宋" w:cs="Times New Roman"/>
          <w:sz w:val="28"/>
          <w:szCs w:val="28"/>
          <w:shd w:val="clear" w:color="auto" w:fill="FFFFFF"/>
        </w:rPr>
        <w:t>名师工作室协调二职中、职教中心、美奥电梯3家单位把技能竞赛与教学改革、校企合作、高技能人才培养有机结合，通过联合训练在第十四届省技能大赛电梯维修保养项目中，所有参赛队伍全部获奖，获率达100%，同时在全国教学能力大赛中，机电名师工作室3名成员的作品《智能改变生活</w:t>
      </w:r>
      <w:r>
        <w:rPr>
          <w:rFonts w:hint="eastAsia" w:ascii="仿宋" w:hAnsi="仿宋" w:eastAsia="仿宋" w:cs="Times New Roman"/>
          <w:sz w:val="28"/>
          <w:szCs w:val="28"/>
          <w:shd w:val="clear" w:color="auto" w:fill="FFFFFF"/>
        </w:rPr>
        <w:t>——</w:t>
      </w:r>
      <w:r>
        <w:rPr>
          <w:rFonts w:ascii="仿宋" w:hAnsi="仿宋" w:eastAsia="仿宋" w:cs="Times New Roman"/>
          <w:sz w:val="28"/>
          <w:szCs w:val="28"/>
          <w:shd w:val="clear" w:color="auto" w:fill="FFFFFF"/>
        </w:rPr>
        <w:t>基于PLC控制的供料传送》，获得了国赛三等奖，再一次刷新我市职业教育在该类比赛的新记录，这些成绩的取得，既提高了两所学校知名度，又锻炼了专业教师队伍，可见积极性、主动性、创造性对名师成长的多么重要。</w:t>
      </w:r>
    </w:p>
    <w:p>
      <w:pPr>
        <w:pStyle w:val="11"/>
        <w:shd w:val="clear" w:color="auto" w:fill="FFFFFF"/>
        <w:spacing w:before="0" w:beforeAutospacing="0" w:after="0" w:afterAutospacing="0" w:line="360" w:lineRule="auto"/>
        <w:jc w:val="center"/>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drawing>
          <wp:inline distT="0" distB="0" distL="114300" distR="114300">
            <wp:extent cx="2519045" cy="2973070"/>
            <wp:effectExtent l="0" t="0" r="14605" b="17780"/>
            <wp:docPr id="42"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descr="1"/>
                    <pic:cNvPicPr>
                      <a:picLocks noChangeAspect="1"/>
                    </pic:cNvPicPr>
                  </pic:nvPicPr>
                  <pic:blipFill>
                    <a:blip r:embed="rId61"/>
                    <a:stretch>
                      <a:fillRect/>
                    </a:stretch>
                  </pic:blipFill>
                  <pic:spPr>
                    <a:xfrm>
                      <a:off x="0" y="0"/>
                      <a:ext cx="2519045" cy="2973070"/>
                    </a:xfrm>
                    <a:prstGeom prst="rect">
                      <a:avLst/>
                    </a:prstGeom>
                    <a:noFill/>
                    <a:ln>
                      <a:noFill/>
                    </a:ln>
                  </pic:spPr>
                </pic:pic>
              </a:graphicData>
            </a:graphic>
          </wp:inline>
        </w:drawing>
      </w:r>
      <w:r>
        <w:rPr>
          <w:rFonts w:hint="eastAsia" w:ascii="仿宋" w:hAnsi="仿宋" w:eastAsia="仿宋" w:cs="仿宋"/>
          <w:sz w:val="28"/>
          <w:szCs w:val="28"/>
          <w:shd w:val="clear" w:color="auto" w:fill="FFFFFF"/>
        </w:rPr>
        <w:t xml:space="preserve"> </w:t>
      </w:r>
      <w:r>
        <w:rPr>
          <w:rFonts w:hint="eastAsia" w:ascii="仿宋" w:hAnsi="仿宋" w:eastAsia="仿宋" w:cs="仿宋"/>
          <w:sz w:val="28"/>
          <w:szCs w:val="28"/>
          <w:shd w:val="clear" w:color="auto" w:fill="FFFFFF"/>
        </w:rPr>
        <w:drawing>
          <wp:inline distT="0" distB="0" distL="114300" distR="114300">
            <wp:extent cx="2458720" cy="2990215"/>
            <wp:effectExtent l="0" t="0" r="0" b="635"/>
            <wp:docPr id="43" name="图片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7" descr="2"/>
                    <pic:cNvPicPr>
                      <a:picLocks noChangeAspect="1"/>
                    </pic:cNvPicPr>
                  </pic:nvPicPr>
                  <pic:blipFill>
                    <a:blip r:embed="rId62"/>
                    <a:srcRect t="11800"/>
                    <a:stretch>
                      <a:fillRect/>
                    </a:stretch>
                  </pic:blipFill>
                  <pic:spPr>
                    <a:xfrm>
                      <a:off x="0" y="0"/>
                      <a:ext cx="2458720" cy="2990215"/>
                    </a:xfrm>
                    <a:prstGeom prst="rect">
                      <a:avLst/>
                    </a:prstGeom>
                    <a:noFill/>
                    <a:ln>
                      <a:noFill/>
                    </a:ln>
                  </pic:spPr>
                </pic:pic>
              </a:graphicData>
            </a:graphic>
          </wp:inline>
        </w:drawing>
      </w:r>
    </w:p>
    <w:p>
      <w:pPr>
        <w:pStyle w:val="11"/>
        <w:shd w:val="clear" w:color="auto" w:fill="FFFFFF"/>
        <w:spacing w:before="0" w:beforeAutospacing="0" w:after="0" w:afterAutospacing="0" w:line="360" w:lineRule="auto"/>
        <w:jc w:val="center"/>
        <w:rPr>
          <w:rFonts w:ascii="仿宋" w:hAnsi="仿宋" w:eastAsia="仿宋" w:cs="Times New Roman"/>
          <w:b/>
          <w:sz w:val="28"/>
          <w:szCs w:val="28"/>
        </w:rPr>
      </w:pPr>
      <w:r>
        <w:rPr>
          <w:rFonts w:hint="eastAsia" w:ascii="仿宋" w:hAnsi="仿宋" w:eastAsia="仿宋" w:cs="Times New Roman"/>
          <w:b/>
          <w:sz w:val="28"/>
          <w:szCs w:val="28"/>
        </w:rPr>
        <w:t xml:space="preserve">   联合实训         </w:t>
      </w:r>
      <w:r>
        <w:rPr>
          <w:rFonts w:hint="eastAsia" w:ascii="仿宋" w:hAnsi="仿宋" w:eastAsia="仿宋" w:cs="Times New Roman"/>
          <w:b/>
          <w:sz w:val="28"/>
          <w:szCs w:val="28"/>
          <w:lang w:eastAsia="zh-CN"/>
        </w:rPr>
        <w:t xml:space="preserve">               </w:t>
      </w:r>
      <w:r>
        <w:rPr>
          <w:rFonts w:hint="eastAsia" w:ascii="仿宋" w:hAnsi="仿宋" w:eastAsia="仿宋" w:cs="Times New Roman"/>
          <w:b/>
          <w:sz w:val="28"/>
          <w:szCs w:val="28"/>
        </w:rPr>
        <w:t>教学能力大赛获奖</w:t>
      </w:r>
    </w:p>
    <w:p>
      <w:pPr>
        <w:spacing w:line="360" w:lineRule="auto"/>
        <w:ind w:firstLine="560" w:firstLineChars="200"/>
        <w:jc w:val="both"/>
        <w:rPr>
          <w:rFonts w:ascii="仿宋" w:hAnsi="仿宋" w:eastAsia="仿宋"/>
          <w:sz w:val="28"/>
          <w:szCs w:val="28"/>
        </w:rPr>
      </w:pPr>
      <w:r>
        <w:rPr>
          <w:rFonts w:hint="eastAsia" w:ascii="仿宋" w:hAnsi="仿宋" w:eastAsia="仿宋"/>
          <w:sz w:val="28"/>
          <w:szCs w:val="28"/>
        </w:rPr>
        <w:t>六、主要存在问题及对策</w:t>
      </w:r>
    </w:p>
    <w:p>
      <w:pPr>
        <w:spacing w:line="360" w:lineRule="auto"/>
        <w:ind w:firstLine="560" w:firstLineChars="200"/>
        <w:jc w:val="both"/>
        <w:rPr>
          <w:rFonts w:ascii="仿宋" w:hAnsi="仿宋" w:eastAsia="仿宋"/>
          <w:sz w:val="28"/>
          <w:szCs w:val="28"/>
        </w:rPr>
      </w:pPr>
      <w:r>
        <w:rPr>
          <w:rFonts w:hint="eastAsia" w:ascii="仿宋" w:hAnsi="仿宋" w:eastAsia="仿宋" w:cs="仿宋"/>
          <w:sz w:val="28"/>
          <w:szCs w:val="28"/>
          <w:shd w:val="clear" w:color="auto" w:fill="FFFFFF"/>
          <w:lang w:bidi="ar"/>
        </w:rPr>
        <w:t>（一）存在问题</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lang w:bidi="ar"/>
        </w:rPr>
      </w:pPr>
      <w:r>
        <w:rPr>
          <w:rFonts w:ascii="仿宋" w:hAnsi="仿宋" w:eastAsia="仿宋" w:cs="Times New Roman"/>
          <w:sz w:val="28"/>
          <w:szCs w:val="28"/>
          <w:shd w:val="clear" w:color="auto" w:fill="FFFFFF"/>
          <w:lang w:bidi="ar"/>
        </w:rPr>
        <w:t>1.专任教师的数量不足</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lang w:bidi="ar"/>
        </w:rPr>
      </w:pPr>
      <w:r>
        <w:rPr>
          <w:rFonts w:ascii="仿宋" w:hAnsi="仿宋" w:eastAsia="仿宋" w:cs="Times New Roman"/>
          <w:sz w:val="28"/>
          <w:szCs w:val="28"/>
          <w:shd w:val="clear" w:color="auto" w:fill="FFFFFF"/>
          <w:lang w:bidi="ar"/>
        </w:rPr>
        <w:t>随着工作室影响力的不断增强，规模不断加大，名师数量明显不能与全市职业教育的需要相匹配。</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lang w:bidi="ar"/>
        </w:rPr>
      </w:pPr>
      <w:r>
        <w:rPr>
          <w:rFonts w:ascii="仿宋" w:hAnsi="仿宋" w:eastAsia="仿宋" w:cs="Times New Roman"/>
          <w:sz w:val="28"/>
          <w:szCs w:val="28"/>
          <w:shd w:val="clear" w:color="auto" w:fill="FFFFFF"/>
          <w:lang w:bidi="ar"/>
        </w:rPr>
        <w:t>2.名师的影响力尚须提升</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rPr>
      </w:pPr>
      <w:r>
        <w:rPr>
          <w:rFonts w:ascii="仿宋" w:hAnsi="仿宋" w:eastAsia="仿宋" w:cs="Times New Roman"/>
          <w:sz w:val="28"/>
          <w:szCs w:val="28"/>
          <w:shd w:val="clear" w:color="auto" w:fill="FFFFFF"/>
        </w:rPr>
        <w:t>在有效的激励和约束下，名师在教学、企业实践、大赛指导、课程创新、教材开发、实训基地建设中，提高参与度、知名度。</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lang w:bidi="ar"/>
        </w:rPr>
      </w:pPr>
      <w:r>
        <w:rPr>
          <w:rFonts w:ascii="仿宋" w:hAnsi="仿宋" w:eastAsia="仿宋" w:cs="Times New Roman"/>
          <w:sz w:val="28"/>
          <w:szCs w:val="28"/>
          <w:shd w:val="clear" w:color="auto" w:fill="FFFFFF"/>
          <w:lang w:bidi="ar"/>
        </w:rPr>
        <w:t>3.工学结合，学以致用效用发挥的不够好</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rPr>
      </w:pPr>
      <w:r>
        <w:rPr>
          <w:rFonts w:ascii="仿宋" w:hAnsi="仿宋" w:eastAsia="仿宋" w:cs="Times New Roman"/>
          <w:sz w:val="28"/>
          <w:szCs w:val="28"/>
          <w:shd w:val="clear" w:color="auto" w:fill="FFFFFF"/>
        </w:rPr>
        <w:t>具</w:t>
      </w:r>
      <w:r>
        <w:rPr>
          <w:rFonts w:hint="eastAsia" w:ascii="仿宋" w:hAnsi="仿宋" w:eastAsia="仿宋" w:cs="Times New Roman"/>
          <w:sz w:val="28"/>
          <w:szCs w:val="28"/>
          <w:shd w:val="clear" w:color="auto" w:fill="FFFFFF"/>
        </w:rPr>
        <w:t>有“双师”</w:t>
      </w:r>
      <w:r>
        <w:rPr>
          <w:rFonts w:ascii="仿宋" w:hAnsi="仿宋" w:eastAsia="仿宋" w:cs="Times New Roman"/>
          <w:sz w:val="28"/>
          <w:szCs w:val="28"/>
          <w:shd w:val="clear" w:color="auto" w:fill="FFFFFF"/>
        </w:rPr>
        <w:t>素质的教师</w:t>
      </w:r>
      <w:r>
        <w:rPr>
          <w:rFonts w:hint="eastAsia" w:ascii="仿宋" w:hAnsi="仿宋" w:eastAsia="仿宋" w:cs="Times New Roman"/>
          <w:sz w:val="28"/>
          <w:szCs w:val="28"/>
          <w:shd w:val="clear" w:color="auto" w:fill="FFFFFF"/>
        </w:rPr>
        <w:t>在“工学结合，产学结合”</w:t>
      </w:r>
      <w:r>
        <w:rPr>
          <w:rFonts w:ascii="仿宋" w:hAnsi="仿宋" w:eastAsia="仿宋" w:cs="Times New Roman"/>
          <w:sz w:val="28"/>
          <w:szCs w:val="28"/>
          <w:shd w:val="clear" w:color="auto" w:fill="FFFFFF"/>
        </w:rPr>
        <w:t>中不能创造效益，团队价值体现不够明显。</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lang w:bidi="ar"/>
        </w:rPr>
      </w:pPr>
      <w:r>
        <w:rPr>
          <w:rFonts w:ascii="仿宋" w:hAnsi="仿宋" w:eastAsia="仿宋" w:cs="Times New Roman"/>
          <w:sz w:val="28"/>
          <w:szCs w:val="28"/>
          <w:shd w:val="clear" w:color="auto" w:fill="FFFFFF"/>
          <w:lang w:bidi="ar"/>
        </w:rPr>
        <w:t>4.未引进名师专家、企业骨干进入团队</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rPr>
      </w:pPr>
      <w:r>
        <w:rPr>
          <w:rFonts w:ascii="仿宋" w:hAnsi="仿宋" w:eastAsia="仿宋" w:cs="Times New Roman"/>
          <w:sz w:val="28"/>
          <w:szCs w:val="28"/>
          <w:shd w:val="clear" w:color="auto" w:fill="FFFFFF"/>
        </w:rPr>
        <w:t>从行业企业及社会中聘请实践经验丰富的名师专家、高级技术人员或能工巧匠，在与专职教师的共同教学活动中，可促进了专职教师向双师型教师的转化，优化师资队伍结构，利于机电专业课教学实践性的加强。</w:t>
      </w:r>
    </w:p>
    <w:p>
      <w:pPr>
        <w:spacing w:line="360" w:lineRule="auto"/>
        <w:ind w:firstLine="560" w:firstLineChars="200"/>
        <w:jc w:val="both"/>
        <w:rPr>
          <w:rFonts w:ascii="仿宋" w:hAnsi="仿宋" w:eastAsia="仿宋" w:cs="仿宋"/>
          <w:sz w:val="28"/>
          <w:szCs w:val="28"/>
          <w:shd w:val="clear" w:color="auto" w:fill="FFFFFF"/>
          <w:lang w:bidi="ar"/>
        </w:rPr>
      </w:pPr>
      <w:r>
        <w:rPr>
          <w:rFonts w:hint="eastAsia" w:ascii="仿宋" w:hAnsi="仿宋" w:eastAsia="仿宋" w:cs="仿宋"/>
          <w:sz w:val="28"/>
          <w:szCs w:val="28"/>
          <w:shd w:val="clear" w:color="auto" w:fill="FFFFFF"/>
          <w:lang w:bidi="ar"/>
        </w:rPr>
        <w:t>（二）对策</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lang w:bidi="ar"/>
        </w:rPr>
      </w:pPr>
      <w:r>
        <w:rPr>
          <w:rFonts w:ascii="仿宋" w:hAnsi="仿宋" w:eastAsia="仿宋" w:cs="Times New Roman"/>
          <w:sz w:val="28"/>
          <w:szCs w:val="28"/>
          <w:shd w:val="clear" w:color="auto" w:fill="FFFFFF"/>
          <w:lang w:bidi="ar"/>
        </w:rPr>
        <w:t>1.开展职业培训</w:t>
      </w:r>
    </w:p>
    <w:p>
      <w:pPr>
        <w:spacing w:line="360" w:lineRule="auto"/>
        <w:ind w:firstLine="560" w:firstLineChars="200"/>
        <w:jc w:val="both"/>
        <w:rPr>
          <w:rFonts w:ascii="仿宋" w:hAnsi="仿宋" w:eastAsia="仿宋"/>
          <w:sz w:val="28"/>
          <w:szCs w:val="28"/>
          <w:shd w:val="clear" w:color="auto" w:fill="FFFFFF"/>
          <w:lang w:bidi="ar"/>
        </w:rPr>
      </w:pPr>
      <w:r>
        <w:rPr>
          <w:rFonts w:ascii="仿宋" w:hAnsi="仿宋" w:eastAsia="仿宋"/>
          <w:sz w:val="28"/>
          <w:szCs w:val="28"/>
          <w:shd w:val="clear" w:color="auto" w:fill="FFFFFF"/>
          <w:lang w:bidi="ar"/>
        </w:rPr>
        <w:t>了解企业人才需求，针对企业所需人オ，开办培训班。培养现代产业急需的技术技能型、复合技能型及知识技能型人才，探索名师工作室社会化培训的新模式。</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lang w:bidi="ar"/>
        </w:rPr>
      </w:pPr>
      <w:r>
        <w:rPr>
          <w:rFonts w:ascii="仿宋" w:hAnsi="仿宋" w:eastAsia="仿宋" w:cs="Times New Roman"/>
          <w:sz w:val="28"/>
          <w:szCs w:val="28"/>
          <w:shd w:val="clear" w:color="auto" w:fill="FFFFFF"/>
          <w:lang w:bidi="ar"/>
        </w:rPr>
        <w:t>2.建立机电类专业职教联盟</w:t>
      </w:r>
    </w:p>
    <w:p>
      <w:pPr>
        <w:spacing w:line="360" w:lineRule="auto"/>
        <w:ind w:firstLine="560" w:firstLineChars="200"/>
        <w:jc w:val="both"/>
        <w:rPr>
          <w:rFonts w:ascii="仿宋" w:hAnsi="仿宋" w:eastAsia="仿宋"/>
          <w:sz w:val="28"/>
          <w:szCs w:val="28"/>
          <w:shd w:val="clear" w:color="auto" w:fill="FFFFFF"/>
          <w:lang w:bidi="ar"/>
        </w:rPr>
      </w:pPr>
      <w:r>
        <w:rPr>
          <w:rFonts w:ascii="仿宋" w:hAnsi="仿宋" w:eastAsia="仿宋"/>
          <w:sz w:val="28"/>
          <w:szCs w:val="28"/>
          <w:shd w:val="clear" w:color="auto" w:fill="FFFFFF"/>
          <w:lang w:bidi="ar"/>
        </w:rPr>
        <w:t>扩大成员单位数量，招募新成员，与县区职教中心建立对口帮扶关系，建立机电类专业职教联盟，提高对大同经济和社会发展的贡献度。</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lang w:bidi="ar"/>
        </w:rPr>
      </w:pPr>
      <w:r>
        <w:rPr>
          <w:rFonts w:ascii="仿宋" w:hAnsi="仿宋" w:eastAsia="仿宋" w:cs="Times New Roman"/>
          <w:sz w:val="28"/>
          <w:szCs w:val="28"/>
          <w:shd w:val="clear" w:color="auto" w:fill="FFFFFF"/>
          <w:lang w:bidi="ar"/>
        </w:rPr>
        <w:t>3.扩大工作室的社会影响力</w:t>
      </w:r>
    </w:p>
    <w:p>
      <w:pPr>
        <w:spacing w:line="360" w:lineRule="auto"/>
        <w:ind w:firstLine="560" w:firstLineChars="200"/>
        <w:jc w:val="both"/>
        <w:rPr>
          <w:rFonts w:ascii="仿宋" w:hAnsi="仿宋" w:eastAsia="仿宋"/>
          <w:sz w:val="28"/>
          <w:szCs w:val="28"/>
          <w:shd w:val="clear" w:color="auto" w:fill="FFFFFF"/>
          <w:lang w:bidi="ar"/>
        </w:rPr>
      </w:pPr>
      <w:r>
        <w:rPr>
          <w:rFonts w:ascii="仿宋" w:hAnsi="仿宋" w:eastAsia="仿宋"/>
          <w:sz w:val="28"/>
          <w:szCs w:val="28"/>
          <w:shd w:val="clear" w:color="auto" w:fill="FFFFFF"/>
          <w:lang w:bidi="ar"/>
        </w:rPr>
        <w:t>将全市电气方面的高技能人才聚在一起，通过培训、考核将其中的一些主持人物吸收进名师工作室，扩大工作室的社会影响力。</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lang w:bidi="ar"/>
        </w:rPr>
      </w:pPr>
      <w:r>
        <w:rPr>
          <w:rFonts w:ascii="仿宋" w:hAnsi="仿宋" w:eastAsia="仿宋" w:cs="Times New Roman"/>
          <w:sz w:val="28"/>
          <w:szCs w:val="28"/>
          <w:shd w:val="clear" w:color="auto" w:fill="FFFFFF"/>
          <w:lang w:bidi="ar"/>
        </w:rPr>
        <w:t>4.提升自身素养</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lang w:bidi="ar"/>
        </w:rPr>
      </w:pPr>
      <w:r>
        <w:rPr>
          <w:rFonts w:ascii="仿宋" w:hAnsi="仿宋" w:eastAsia="仿宋" w:cs="Times New Roman"/>
          <w:sz w:val="28"/>
          <w:szCs w:val="28"/>
          <w:shd w:val="clear" w:color="auto" w:fill="FFFFFF"/>
          <w:lang w:bidi="ar"/>
        </w:rPr>
        <w:t>工作室成员认真学习职业教育相关政策，明年结合产教融合、校企合作每位成员发表一篇论文，后年结合成员专业知识每人发表一篇专业性比较强的论文，最终达到工作室成员综合素养全面提升。</w:t>
      </w:r>
    </w:p>
    <w:p>
      <w:pPr>
        <w:pStyle w:val="11"/>
        <w:shd w:val="clear" w:color="auto" w:fill="FFFFFF"/>
        <w:spacing w:before="0" w:beforeAutospacing="0" w:after="0" w:afterAutospacing="0" w:line="360" w:lineRule="auto"/>
        <w:ind w:firstLine="560" w:firstLineChars="200"/>
        <w:jc w:val="both"/>
        <w:rPr>
          <w:rFonts w:ascii="仿宋" w:hAnsi="仿宋" w:eastAsia="仿宋" w:cs="Times New Roman"/>
          <w:sz w:val="28"/>
          <w:szCs w:val="28"/>
          <w:shd w:val="clear" w:color="auto" w:fill="FFFFFF"/>
          <w:lang w:bidi="ar"/>
        </w:rPr>
      </w:pPr>
      <w:r>
        <w:rPr>
          <w:rFonts w:ascii="仿宋" w:hAnsi="仿宋" w:eastAsia="仿宋" w:cs="Times New Roman"/>
          <w:sz w:val="28"/>
          <w:szCs w:val="28"/>
          <w:shd w:val="clear" w:color="auto" w:fill="FFFFFF"/>
          <w:lang w:bidi="ar"/>
        </w:rPr>
        <w:t>名师工作室不仅搭建一个名师领衔的优秀教师专业发展的平台，而且通过这个平台以点带面逐步提升了教师队伍整体的专业化水平，推进了区域职业教育的均衡发展。</w:t>
      </w:r>
      <w:r>
        <w:rPr>
          <w:rFonts w:ascii="Calibri" w:hAnsi="Calibri" w:eastAsia="仿宋" w:cs="Calibri"/>
          <w:sz w:val="28"/>
          <w:szCs w:val="28"/>
          <w:shd w:val="clear" w:color="auto" w:fill="FFFFFF"/>
          <w:lang w:bidi="ar"/>
        </w:rPr>
        <w:t> </w:t>
      </w:r>
      <w:r>
        <w:rPr>
          <w:rFonts w:ascii="仿宋" w:hAnsi="仿宋" w:eastAsia="仿宋" w:cs="Times New Roman"/>
          <w:sz w:val="28"/>
          <w:szCs w:val="28"/>
          <w:shd w:val="clear" w:color="auto" w:fill="FFFFFF"/>
          <w:lang w:bidi="ar"/>
        </w:rPr>
        <w:t>同时，名师工作室也为双师型教师培养开拓了一条新的途径，注入了新的活力，这就势必要求我市职业教育要继续深化改革，继续提高教师专业水平，必然会造就大批双师型教师、专家型教师，这已经成为我市职业教育上下各界的普遍共识。名师工作室的建构与运营，符合实话方案和行动计划的精神及教师培养的要求，是引领新时期教师专业发展的重要平台，也理应可以作为我市职业教育新方位、新征程、新使命的时代背景下教师教育的一项重要举措。</w:t>
      </w:r>
    </w:p>
    <w:p>
      <w:pPr>
        <w:pStyle w:val="11"/>
        <w:shd w:val="clear" w:color="auto" w:fill="FFFFFF"/>
        <w:spacing w:before="0" w:beforeAutospacing="0" w:after="0" w:afterAutospacing="0" w:line="360" w:lineRule="auto"/>
        <w:ind w:firstLine="560" w:firstLineChars="200"/>
        <w:jc w:val="both"/>
        <w:rPr>
          <w:rFonts w:ascii="仿宋" w:hAnsi="仿宋" w:eastAsia="仿宋"/>
          <w:sz w:val="28"/>
          <w:szCs w:val="28"/>
        </w:rPr>
      </w:pPr>
      <w:r>
        <w:rPr>
          <w:rFonts w:ascii="仿宋" w:hAnsi="仿宋" w:eastAsia="仿宋" w:cs="Times New Roman"/>
          <w:sz w:val="28"/>
          <w:szCs w:val="28"/>
          <w:shd w:val="clear" w:color="auto" w:fill="FFFFFF"/>
          <w:lang w:bidi="ar"/>
        </w:rPr>
        <w:t>要强调的是，名师工作室的建构与运作，应体现教师成长与培养的特色，即要以教师</w:t>
      </w:r>
      <w:r>
        <w:rPr>
          <w:rFonts w:hint="eastAsia" w:ascii="仿宋" w:hAnsi="仿宋" w:eastAsia="仿宋" w:cs="Times New Roman"/>
          <w:sz w:val="28"/>
          <w:szCs w:val="28"/>
          <w:shd w:val="clear" w:color="auto" w:fill="FFFFFF"/>
          <w:lang w:bidi="ar"/>
        </w:rPr>
        <w:t>成长的“实践智慧”为</w:t>
      </w:r>
      <w:r>
        <w:rPr>
          <w:rFonts w:ascii="仿宋" w:hAnsi="仿宋" w:eastAsia="仿宋" w:cs="Times New Roman"/>
          <w:sz w:val="28"/>
          <w:szCs w:val="28"/>
          <w:shd w:val="clear" w:color="auto" w:fill="FFFFFF"/>
          <w:lang w:bidi="ar"/>
        </w:rPr>
        <w:t>导向，激励教师在教育实践中生成智</w:t>
      </w:r>
      <w:r>
        <w:rPr>
          <w:rFonts w:hint="eastAsia" w:ascii="仿宋" w:hAnsi="仿宋" w:eastAsia="仿宋" w:cs="Times New Roman"/>
          <w:sz w:val="28"/>
          <w:szCs w:val="28"/>
          <w:shd w:val="clear" w:color="auto" w:fill="FFFFFF"/>
          <w:lang w:bidi="ar"/>
        </w:rPr>
        <w:t>慧，“做中学”，</w:t>
      </w:r>
      <w:r>
        <w:rPr>
          <w:rFonts w:ascii="仿宋" w:hAnsi="仿宋" w:eastAsia="仿宋" w:cs="Times New Roman"/>
          <w:sz w:val="28"/>
          <w:szCs w:val="28"/>
          <w:shd w:val="clear" w:color="auto" w:fill="FFFFFF"/>
          <w:lang w:bidi="ar"/>
        </w:rPr>
        <w:t>以理论指导实践，在实践中反思理论，从而使教师自身的教育实践成为一种“智慧的实践”，真正实现教师专业素质的提升。</w:t>
      </w:r>
    </w:p>
    <w:p>
      <w:pPr>
        <w:pStyle w:val="4"/>
        <w:spacing w:line="360" w:lineRule="auto"/>
        <w:rPr>
          <w:rFonts w:ascii="仿宋" w:hAnsi="仿宋" w:eastAsia="仿宋"/>
          <w:b w:val="0"/>
          <w:bCs w:val="0"/>
          <w:sz w:val="28"/>
          <w:szCs w:val="28"/>
          <w:lang w:eastAsia="zh-CN"/>
        </w:rPr>
      </w:pPr>
      <w:bookmarkStart w:id="40" w:name="_Toc66798324"/>
      <w:r>
        <w:rPr>
          <w:rFonts w:hint="eastAsia" w:ascii="仿宋" w:hAnsi="仿宋" w:eastAsia="仿宋"/>
          <w:b w:val="0"/>
          <w:bCs w:val="0"/>
          <w:sz w:val="28"/>
          <w:szCs w:val="28"/>
          <w:lang w:eastAsia="zh-CN"/>
        </w:rPr>
        <w:t>7</w:t>
      </w:r>
      <w:r>
        <w:rPr>
          <w:rFonts w:ascii="仿宋" w:hAnsi="仿宋" w:eastAsia="仿宋"/>
          <w:b w:val="0"/>
          <w:bCs w:val="0"/>
          <w:sz w:val="28"/>
          <w:szCs w:val="28"/>
          <w:lang w:eastAsia="zh-CN"/>
        </w:rPr>
        <w:t>.3</w:t>
      </w:r>
      <w:r>
        <w:rPr>
          <w:rFonts w:hint="eastAsia" w:ascii="仿宋" w:hAnsi="仿宋" w:eastAsia="仿宋"/>
          <w:b w:val="0"/>
          <w:bCs w:val="0"/>
          <w:sz w:val="28"/>
          <w:szCs w:val="28"/>
          <w:lang w:eastAsia="zh-CN"/>
        </w:rPr>
        <w:t>【案例分享</w:t>
      </w:r>
      <w:r>
        <w:rPr>
          <w:rFonts w:ascii="仿宋" w:hAnsi="仿宋" w:eastAsia="仿宋"/>
          <w:b w:val="0"/>
          <w:bCs w:val="0"/>
          <w:sz w:val="28"/>
          <w:szCs w:val="28"/>
          <w:lang w:eastAsia="zh-CN"/>
        </w:rPr>
        <w:t>3</w:t>
      </w:r>
      <w:r>
        <w:rPr>
          <w:rFonts w:hint="eastAsia" w:ascii="仿宋" w:hAnsi="仿宋" w:eastAsia="仿宋"/>
          <w:b w:val="0"/>
          <w:bCs w:val="0"/>
          <w:sz w:val="28"/>
          <w:szCs w:val="28"/>
          <w:lang w:eastAsia="zh-CN"/>
        </w:rPr>
        <w:t>】大同市第一高级职业中学校</w:t>
      </w:r>
      <w:bookmarkEnd w:id="40"/>
    </w:p>
    <w:p>
      <w:pPr>
        <w:spacing w:line="360" w:lineRule="auto"/>
        <w:jc w:val="center"/>
        <w:rPr>
          <w:rFonts w:eastAsia="仿宋" w:asciiTheme="minorHAnsi" w:hAnsiTheme="minorHAnsi"/>
          <w:b/>
          <w:sz w:val="28"/>
          <w:szCs w:val="28"/>
          <w:lang w:val="uk-UA"/>
        </w:rPr>
      </w:pPr>
      <w:r>
        <w:rPr>
          <w:rFonts w:hint="eastAsia" w:ascii="仿宋" w:hAnsi="仿宋" w:eastAsia="仿宋" w:cs="Times New Roman"/>
          <w:b/>
          <w:bCs/>
          <w:sz w:val="28"/>
          <w:szCs w:val="28"/>
          <w:shd w:val="clear" w:color="auto" w:fill="FFFFFF"/>
          <w:lang w:bidi="ar"/>
        </w:rPr>
        <w:t>2020年美育工作总结</w:t>
      </w:r>
    </w:p>
    <w:p>
      <w:pPr>
        <w:autoSpaceDE w:val="0"/>
        <w:autoSpaceDN w:val="0"/>
        <w:adjustRightInd w:val="0"/>
        <w:spacing w:line="360" w:lineRule="auto"/>
        <w:ind w:firstLine="560" w:firstLineChars="200"/>
        <w:rPr>
          <w:rFonts w:eastAsia="仿宋" w:asciiTheme="minorHAnsi" w:hAnsiTheme="minorHAnsi"/>
          <w:sz w:val="28"/>
          <w:szCs w:val="28"/>
          <w:lang w:val="uk-UA"/>
        </w:rPr>
      </w:pPr>
      <w:r>
        <w:rPr>
          <w:rFonts w:hint="eastAsia" w:ascii="仿宋" w:hAnsi="仿宋" w:eastAsia="仿宋"/>
          <w:sz w:val="28"/>
          <w:szCs w:val="28"/>
        </w:rPr>
        <w:t>为深入贯彻落实十九大、党的十九届历次全会精神，以《教育部关于推进学校艺术教育发展的若</w:t>
      </w:r>
      <w:r>
        <w:rPr>
          <w:rFonts w:hint="eastAsia" w:ascii="仿宋" w:hAnsi="仿宋" w:eastAsia="仿宋"/>
          <w:sz w:val="28"/>
          <w:szCs w:val="28"/>
          <w:lang w:eastAsia="zh-CN"/>
        </w:rPr>
        <w:t>干</w:t>
      </w:r>
      <w:r>
        <w:rPr>
          <w:rFonts w:hint="eastAsia" w:ascii="仿宋" w:hAnsi="仿宋" w:eastAsia="仿宋"/>
          <w:sz w:val="28"/>
          <w:szCs w:val="28"/>
        </w:rPr>
        <w:t>意见》《国家中长期教育改革和发展规划纲要(2010-2020年)》及市教育局印发的相关文件为指导，我校以 “立德树人”为根本任务，坚持“以学定教、立美育人、能力为本、质量取胜”的办学理念，秉承“立德笃学 健体雅行”的校训，按照“艺术引领、规模发展、提升质量、打造品牌”的办学目标和“直面人生现实、担当生活重任、发展个性秉赋、成就美好人生”的培养目标，开展教学与管理工作，主动适应山西经济社会发展和产业结构调整，深化职业教育教学改革，全面提高人才培养质量，促进学生全面发展，提升学校综合实力，创建高水平特色创新中等职业学校。</w:t>
      </w:r>
    </w:p>
    <w:p>
      <w:pPr>
        <w:autoSpaceDE w:val="0"/>
        <w:autoSpaceDN w:val="0"/>
        <w:adjustRightInd w:val="0"/>
        <w:spacing w:line="360" w:lineRule="auto"/>
        <w:ind w:firstLine="560" w:firstLineChars="200"/>
        <w:rPr>
          <w:rFonts w:ascii="仿宋" w:hAnsi="仿宋" w:eastAsia="仿宋"/>
          <w:sz w:val="28"/>
          <w:szCs w:val="28"/>
        </w:rPr>
      </w:pPr>
      <w:r>
        <w:rPr>
          <w:rFonts w:hint="eastAsia" w:ascii="仿宋" w:hAnsi="仿宋" w:eastAsia="仿宋"/>
          <w:sz w:val="28"/>
          <w:szCs w:val="28"/>
        </w:rPr>
        <w:t>现将工作情况总结如下：</w:t>
      </w:r>
    </w:p>
    <w:p>
      <w:pPr>
        <w:spacing w:line="360" w:lineRule="auto"/>
        <w:ind w:firstLine="560" w:firstLineChars="200"/>
        <w:rPr>
          <w:rFonts w:ascii="仿宋" w:hAnsi="仿宋" w:eastAsia="仿宋"/>
          <w:sz w:val="28"/>
          <w:szCs w:val="28"/>
        </w:rPr>
      </w:pPr>
      <w:r>
        <w:rPr>
          <w:rFonts w:hint="eastAsia" w:ascii="仿宋" w:hAnsi="仿宋" w:eastAsia="仿宋"/>
          <w:sz w:val="28"/>
          <w:szCs w:val="28"/>
        </w:rPr>
        <w:t>一、强化领导，高度重视</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思想是指导工作的根本源头。我校领导班子非常重视学校的美育工作，开学初就召开专题会议，明确分管领导、相关处室负责人，安排策划好本学期的美育工作，制定好工作计划，因为美育教育工作涉及的范围广，是学校的一项重要工作，所以我们在制定计划时把各项工作都安排得非常细致。这为本学期的美育工作能顺利开展奠定了良好的基础。</w:t>
      </w:r>
    </w:p>
    <w:p>
      <w:pPr>
        <w:spacing w:line="360" w:lineRule="auto"/>
        <w:ind w:firstLine="560" w:firstLineChars="200"/>
        <w:rPr>
          <w:rFonts w:ascii="仿宋" w:hAnsi="仿宋" w:eastAsia="仿宋"/>
          <w:sz w:val="28"/>
          <w:szCs w:val="28"/>
        </w:rPr>
      </w:pPr>
      <w:r>
        <w:rPr>
          <w:rFonts w:hint="eastAsia" w:ascii="仿宋" w:hAnsi="仿宋" w:eastAsia="仿宋"/>
          <w:sz w:val="28"/>
          <w:szCs w:val="28"/>
        </w:rPr>
        <w:t>二、有机结合，抓好教学</w:t>
      </w:r>
    </w:p>
    <w:p>
      <w:pPr>
        <w:spacing w:line="360" w:lineRule="auto"/>
        <w:ind w:firstLine="560" w:firstLineChars="200"/>
        <w:rPr>
          <w:rFonts w:ascii="仿宋" w:hAnsi="仿宋" w:eastAsia="仿宋"/>
          <w:sz w:val="28"/>
          <w:szCs w:val="28"/>
        </w:rPr>
      </w:pPr>
      <w:r>
        <w:rPr>
          <w:rFonts w:hint="eastAsia" w:ascii="仿宋" w:hAnsi="仿宋" w:eastAsia="仿宋"/>
          <w:sz w:val="28"/>
          <w:szCs w:val="28"/>
        </w:rPr>
        <w:t>为了确实提高学生的美育，利用美育工作多面性的特点，我们把美育工作渗透到各专业各学科的教学工作中。例如：在课堂教学中，强调教师通过多媒体的教学手段来完成课堂教学，学生通过听录音、看投影、录像等多方面的教学手段来提高美的意识，树立美的思想，特别是音、体、美的课程。我校规定艺术专业课的教学充分利用实训基地条件开展，并严格要求认真上好每一节课，绝对不允许出现“放羊式”的课堂教学。</w:t>
      </w:r>
    </w:p>
    <w:p>
      <w:pPr>
        <w:spacing w:line="360" w:lineRule="auto"/>
        <w:ind w:firstLine="560" w:firstLineChars="200"/>
        <w:rPr>
          <w:rFonts w:ascii="仿宋" w:hAnsi="仿宋" w:eastAsia="仿宋"/>
          <w:sz w:val="28"/>
          <w:szCs w:val="28"/>
        </w:rPr>
      </w:pPr>
      <w:r>
        <w:rPr>
          <w:rFonts w:hint="eastAsia" w:ascii="仿宋" w:hAnsi="仿宋" w:eastAsia="仿宋"/>
          <w:sz w:val="28"/>
          <w:szCs w:val="28"/>
        </w:rPr>
        <w:t>三、开展活动，创设舞台</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1.我校大力发展学生社团。成立服装表演队、舞蹈团、管乐团、民乐团、合唱团、文学社、朗诵团、田径队、男女篮球队、计</w:t>
      </w:r>
      <w:r>
        <w:rPr>
          <w:rFonts w:ascii="仿宋_GB2312" w:eastAsia="仿宋_GB2312"/>
          <w:sz w:val="32"/>
          <w:szCs w:val="32"/>
        </w:rPr>
        <w:drawing>
          <wp:anchor distT="0" distB="0" distL="114300" distR="114300" simplePos="0" relativeHeight="251679744" behindDoc="1" locked="0" layoutInCell="1" allowOverlap="1">
            <wp:simplePos x="0" y="0"/>
            <wp:positionH relativeFrom="column">
              <wp:posOffset>2052955</wp:posOffset>
            </wp:positionH>
            <wp:positionV relativeFrom="paragraph">
              <wp:posOffset>31115</wp:posOffset>
            </wp:positionV>
            <wp:extent cx="3203575" cy="2135505"/>
            <wp:effectExtent l="0" t="0" r="0" b="0"/>
            <wp:wrapTight wrapText="bothSides">
              <wp:wrapPolygon>
                <wp:start x="0" y="0"/>
                <wp:lineTo x="0" y="21388"/>
                <wp:lineTo x="21450" y="21388"/>
                <wp:lineTo x="21450"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03575" cy="2135505"/>
                    </a:xfrm>
                    <a:prstGeom prst="rect">
                      <a:avLst/>
                    </a:prstGeom>
                  </pic:spPr>
                </pic:pic>
              </a:graphicData>
            </a:graphic>
          </wp:anchor>
        </w:drawing>
      </w:r>
      <w:r>
        <w:rPr>
          <w:rFonts w:hint="eastAsia" w:ascii="仿宋" w:hAnsi="仿宋" w:eastAsia="仿宋"/>
          <w:sz w:val="28"/>
          <w:szCs w:val="28"/>
        </w:rPr>
        <w:t>算机维修队共11个学生社团，制定活动计划，规划活动场地，安排专人指导，积极支持各个社团参加省市各类活动，学生综合素质得到了提高。真正发挥教育、引导、服务、凝聚青年学生的职能，实现思想引领和活动育人，使我校共青团的活动焕发出新的生机与活力。</w:t>
      </w:r>
    </w:p>
    <w:p>
      <w:pPr>
        <w:spacing w:line="360" w:lineRule="auto"/>
        <w:ind w:firstLine="640" w:firstLineChars="200"/>
        <w:rPr>
          <w:rFonts w:ascii="仿宋" w:hAnsi="仿宋" w:eastAsia="仿宋"/>
          <w:sz w:val="28"/>
          <w:szCs w:val="28"/>
        </w:rPr>
      </w:pPr>
      <w:r>
        <w:rPr>
          <w:rFonts w:ascii="仿宋_GB2312" w:eastAsia="仿宋_GB2312"/>
          <w:sz w:val="32"/>
          <w:szCs w:val="32"/>
        </w:rPr>
        <w:drawing>
          <wp:anchor distT="0" distB="0" distL="114300" distR="114300" simplePos="0" relativeHeight="251683840" behindDoc="1" locked="0" layoutInCell="1" allowOverlap="1">
            <wp:simplePos x="0" y="0"/>
            <wp:positionH relativeFrom="column">
              <wp:posOffset>2465705</wp:posOffset>
            </wp:positionH>
            <wp:positionV relativeFrom="paragraph">
              <wp:posOffset>2754630</wp:posOffset>
            </wp:positionV>
            <wp:extent cx="2844800" cy="1895475"/>
            <wp:effectExtent l="0" t="0" r="0" b="9525"/>
            <wp:wrapTight wrapText="bothSides">
              <wp:wrapPolygon>
                <wp:start x="0" y="0"/>
                <wp:lineTo x="0" y="21491"/>
                <wp:lineTo x="21407" y="21491"/>
                <wp:lineTo x="21407"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44800" cy="1895475"/>
                    </a:xfrm>
                    <a:prstGeom prst="rect">
                      <a:avLst/>
                    </a:prstGeom>
                  </pic:spPr>
                </pic:pic>
              </a:graphicData>
            </a:graphic>
          </wp:anchor>
        </w:drawing>
      </w:r>
      <w:r>
        <w:rPr>
          <w:rFonts w:ascii="仿宋_GB2312" w:eastAsia="仿宋_GB2312"/>
          <w:sz w:val="32"/>
          <w:szCs w:val="32"/>
        </w:rPr>
        <w:drawing>
          <wp:anchor distT="0" distB="0" distL="114300" distR="114300" simplePos="0" relativeHeight="251681792" behindDoc="1" locked="0" layoutInCell="1" allowOverlap="1">
            <wp:simplePos x="0" y="0"/>
            <wp:positionH relativeFrom="column">
              <wp:posOffset>90805</wp:posOffset>
            </wp:positionH>
            <wp:positionV relativeFrom="paragraph">
              <wp:posOffset>611505</wp:posOffset>
            </wp:positionV>
            <wp:extent cx="2857500" cy="1905000"/>
            <wp:effectExtent l="0" t="0" r="0" b="0"/>
            <wp:wrapTight wrapText="bothSides">
              <wp:wrapPolygon>
                <wp:start x="0" y="0"/>
                <wp:lineTo x="0" y="21384"/>
                <wp:lineTo x="21456" y="21384"/>
                <wp:lineTo x="21456" y="0"/>
                <wp:lineTo x="0" y="0"/>
              </wp:wrapPolygon>
            </wp:wrapTight>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anchor>
        </w:drawing>
      </w:r>
      <w:r>
        <w:rPr>
          <w:rFonts w:hint="eastAsia" w:ascii="仿宋" w:hAnsi="仿宋" w:eastAsia="仿宋"/>
          <w:sz w:val="28"/>
          <w:szCs w:val="28"/>
        </w:rPr>
        <w:t>2.在学校领导的精心部署下，各部门积极配合，全体师生共同努力，经过长期的积累和沉淀，大同一职中在山西省第十二届中等职业学校“文明风采”活动中再创佳绩，最终《战台风》、《步步高》、《祖国》、《心有翎兮》四个作品一举夺得一等奖；《喜看麦田千层浪》、《春苗》、《天山诗画》、《天浴》四个作品获得二等奖；《浏阳河》、《希望2020》、《蓝色山脉传奇》、《洪湖人民的心愿》、《我的南方和北方》、《青春中国》、《少年中国说》、《中国话》、《妈妈我等了你二十年》九个作品获得三等奖；《我和国旗合个影》一获得特设项目二等奖；陈碧华获得优秀组织工作者奖；陈小兰、李英明、荣荣、王超、赵霞五位指导教师获得山西省优秀指导教师奖；同时，学校还荣获“优秀组织奖”称号。始终坚持上级的领导，以用心向上的思想引领全校青年。突出先进性，以健康高尚的校园文化凝聚全校青年；立足群众性，以倾听全校青年心声为已任，倡导全面发展，尊重个性发展。</w:t>
      </w:r>
    </w:p>
    <w:p>
      <w:pPr>
        <w:spacing w:line="360" w:lineRule="auto"/>
        <w:ind w:firstLine="560" w:firstLineChars="200"/>
        <w:rPr>
          <w:rFonts w:ascii="仿宋" w:hAnsi="仿宋" w:eastAsia="仿宋"/>
          <w:sz w:val="28"/>
          <w:szCs w:val="28"/>
        </w:rPr>
      </w:pPr>
      <w:r>
        <w:rPr>
          <w:rFonts w:hint="eastAsia" w:ascii="仿宋" w:hAnsi="仿宋" w:eastAsia="仿宋"/>
          <w:sz w:val="28"/>
          <w:szCs w:val="28"/>
        </w:rPr>
        <w:t>3.伴随着春节脚步的临近，承载着勤奋耕耘的喜悦，为了向老师和家长展示一年来在学校的学习成果，给学生创造一个展现自我的机会，我校举办音乐专业汇报演出。全校师生齐聚一堂，共享视听盛宴。</w:t>
      </w:r>
    </w:p>
    <w:p>
      <w:pPr>
        <w:spacing w:line="360" w:lineRule="auto"/>
        <w:ind w:firstLine="560" w:firstLineChars="200"/>
        <w:rPr>
          <w:rFonts w:eastAsia="仿宋" w:asciiTheme="minorHAnsi" w:hAnsiTheme="minorHAnsi"/>
          <w:sz w:val="28"/>
          <w:szCs w:val="28"/>
          <w:lang w:val="uk-UA"/>
        </w:rPr>
      </w:pPr>
      <w:r>
        <w:rPr>
          <w:rFonts w:hint="eastAsia" w:ascii="仿宋" w:hAnsi="仿宋" w:eastAsia="仿宋"/>
          <w:sz w:val="28"/>
          <w:szCs w:val="28"/>
        </w:rPr>
        <w:t>此次汇报演出分专场进行，包含民乐专场、管乐专场、舞蹈与服装表演专场、声乐专场、钢琴专场等。</w:t>
      </w:r>
    </w:p>
    <w:p>
      <w:pPr>
        <w:spacing w:line="360" w:lineRule="auto"/>
        <w:ind w:firstLine="640" w:firstLineChars="200"/>
        <w:jc w:val="center"/>
        <w:rPr>
          <w:rFonts w:eastAsia="仿宋_GB2312" w:asciiTheme="minorHAnsi" w:hAnsiTheme="minorHAnsi"/>
          <w:sz w:val="32"/>
          <w:szCs w:val="32"/>
          <w:lang w:val="uk-UA"/>
        </w:rPr>
      </w:pPr>
      <w:r>
        <w:rPr>
          <w:rFonts w:ascii="仿宋_GB2312" w:eastAsia="仿宋_GB2312"/>
          <w:sz w:val="32"/>
          <w:szCs w:val="32"/>
        </w:rPr>
        <w:drawing>
          <wp:anchor distT="0" distB="0" distL="114300" distR="114300" simplePos="0" relativeHeight="251677696" behindDoc="0" locked="0" layoutInCell="1" allowOverlap="1">
            <wp:simplePos x="0" y="0"/>
            <wp:positionH relativeFrom="column">
              <wp:posOffset>2046605</wp:posOffset>
            </wp:positionH>
            <wp:positionV relativeFrom="paragraph">
              <wp:posOffset>287655</wp:posOffset>
            </wp:positionV>
            <wp:extent cx="3195320" cy="2092325"/>
            <wp:effectExtent l="0" t="0" r="5080" b="317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195320" cy="2092325"/>
                    </a:xfrm>
                    <a:prstGeom prst="rect">
                      <a:avLst/>
                    </a:prstGeom>
                  </pic:spPr>
                </pic:pic>
              </a:graphicData>
            </a:graphic>
          </wp:anchor>
        </w:drawing>
      </w:r>
      <w:r>
        <w:rPr>
          <w:rFonts w:hint="eastAsia" w:ascii="仿宋" w:hAnsi="仿宋" w:eastAsia="仿宋"/>
          <w:sz w:val="28"/>
          <w:szCs w:val="28"/>
        </w:rPr>
        <w:t>台上一分钟，台下十年功。大同一职中师生用音符表达了对艺术的敬意，用舞蹈表达了心中崇高的理想，彰显了大同一职中职业教育“立德树人、艺术引领”的教学成果，也展现了大同一职中学子扎实过人的专业基本功、专业教师厚重的艺术素养和学校出彩的教学实力。在提高学生专业技能的同时，也调动了他们的积极性，提升了自信心，让每一位学生更加坚定了实现自己艺术梦想的信心。</w:t>
      </w:r>
    </w:p>
    <w:p>
      <w:pPr>
        <w:pStyle w:val="2"/>
        <w:ind w:left="0" w:leftChars="0" w:firstLine="0" w:firstLineChars="0"/>
        <w:jc w:val="center"/>
        <w:rPr>
          <w:rFonts w:eastAsia="仿宋"/>
          <w:lang w:val="uk-UA"/>
        </w:rPr>
      </w:pPr>
      <w:r>
        <w:rPr>
          <w:rFonts w:ascii="仿宋_GB2312" w:eastAsia="仿宋_GB2312"/>
          <w:sz w:val="32"/>
          <w:szCs w:val="32"/>
        </w:rPr>
        <w:drawing>
          <wp:inline distT="0" distB="0" distL="0" distR="0">
            <wp:extent cx="5253355" cy="2184400"/>
            <wp:effectExtent l="0" t="0" r="444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7">
                      <a:extLst>
                        <a:ext uri="{28A0092B-C50C-407E-A947-70E740481C1C}">
                          <a14:useLocalDpi xmlns:a14="http://schemas.microsoft.com/office/drawing/2010/main" val="0"/>
                        </a:ext>
                      </a:extLst>
                    </a:blip>
                    <a:srcRect l="12674"/>
                    <a:stretch>
                      <a:fillRect/>
                    </a:stretch>
                  </pic:blipFill>
                  <pic:spPr>
                    <a:xfrm>
                      <a:off x="0" y="0"/>
                      <a:ext cx="5357891" cy="2227867"/>
                    </a:xfrm>
                    <a:prstGeom prst="rect">
                      <a:avLst/>
                    </a:prstGeom>
                    <a:ln>
                      <a:noFill/>
                    </a:ln>
                  </pic:spPr>
                </pic:pic>
              </a:graphicData>
            </a:graphic>
          </wp:inline>
        </w:drawing>
      </w:r>
    </w:p>
    <w:p>
      <w:pPr>
        <w:pStyle w:val="2"/>
        <w:ind w:left="0" w:leftChars="0" w:firstLine="0" w:firstLineChars="0"/>
        <w:jc w:val="center"/>
        <w:rPr>
          <w:rFonts w:eastAsia="仿宋"/>
          <w:lang w:val="uk-UA"/>
        </w:rPr>
      </w:pPr>
    </w:p>
    <w:p>
      <w:pPr>
        <w:pStyle w:val="2"/>
        <w:ind w:left="0" w:leftChars="0" w:firstLine="0" w:firstLineChars="0"/>
        <w:jc w:val="center"/>
        <w:rPr>
          <w:rFonts w:eastAsia="仿宋"/>
          <w:lang w:val="uk-UA"/>
        </w:rPr>
      </w:pPr>
      <w:r>
        <w:rPr>
          <w:rFonts w:ascii="仿宋_GB2312" w:eastAsia="仿宋_GB2312"/>
          <w:sz w:val="32"/>
          <w:szCs w:val="32"/>
        </w:rPr>
        <w:drawing>
          <wp:inline distT="0" distB="0" distL="0" distR="0">
            <wp:extent cx="2616200" cy="1746250"/>
            <wp:effectExtent l="0" t="0" r="0" b="635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68" cstate="print">
                      <a:extLst>
                        <a:ext uri="{28A0092B-C50C-407E-A947-70E740481C1C}">
                          <a14:useLocalDpi xmlns:a14="http://schemas.microsoft.com/office/drawing/2010/main" val="0"/>
                        </a:ext>
                      </a:extLst>
                    </a:blip>
                    <a:srcRect l="12670"/>
                    <a:stretch>
                      <a:fillRect/>
                    </a:stretch>
                  </pic:blipFill>
                  <pic:spPr>
                    <a:xfrm>
                      <a:off x="0" y="0"/>
                      <a:ext cx="2636019" cy="1759882"/>
                    </a:xfrm>
                    <a:prstGeom prst="rect">
                      <a:avLst/>
                    </a:prstGeom>
                    <a:ln>
                      <a:noFill/>
                    </a:ln>
                  </pic:spPr>
                </pic:pic>
              </a:graphicData>
            </a:graphic>
          </wp:inline>
        </w:drawing>
      </w:r>
      <w:r>
        <w:rPr>
          <w:rFonts w:ascii="仿宋_GB2312" w:eastAsia="仿宋_GB2312"/>
          <w:sz w:val="32"/>
          <w:szCs w:val="32"/>
        </w:rPr>
        <w:drawing>
          <wp:inline distT="0" distB="0" distL="0" distR="0">
            <wp:extent cx="2638425" cy="1758950"/>
            <wp:effectExtent l="0" t="0" r="952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55848" cy="1770167"/>
                    </a:xfrm>
                    <a:prstGeom prst="rect">
                      <a:avLst/>
                    </a:prstGeom>
                  </pic:spPr>
                </pic:pic>
              </a:graphicData>
            </a:graphic>
          </wp:inline>
        </w:drawing>
      </w:r>
    </w:p>
    <w:p>
      <w:pPr>
        <w:pStyle w:val="2"/>
        <w:ind w:left="0" w:leftChars="0" w:firstLine="0" w:firstLineChars="0"/>
        <w:rPr>
          <w:rFonts w:eastAsia="仿宋"/>
          <w:lang w:val="uk-UA"/>
        </w:rPr>
      </w:pPr>
    </w:p>
    <w:p>
      <w:pPr>
        <w:pStyle w:val="2"/>
        <w:ind w:left="0" w:leftChars="0" w:firstLine="0" w:firstLineChars="0"/>
        <w:jc w:val="center"/>
        <w:rPr>
          <w:rFonts w:eastAsia="仿宋"/>
          <w:lang w:val="uk-UA"/>
        </w:rPr>
      </w:pPr>
      <w:r>
        <w:rPr>
          <w:rFonts w:ascii="仿宋_GB2312" w:eastAsia="仿宋_GB2312"/>
          <w:sz w:val="32"/>
          <w:szCs w:val="32"/>
        </w:rPr>
        <w:drawing>
          <wp:inline distT="0" distB="0" distL="0" distR="0">
            <wp:extent cx="2630170" cy="17538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60968" cy="1774201"/>
                    </a:xfrm>
                    <a:prstGeom prst="rect">
                      <a:avLst/>
                    </a:prstGeom>
                  </pic:spPr>
                </pic:pic>
              </a:graphicData>
            </a:graphic>
          </wp:inline>
        </w:drawing>
      </w:r>
      <w:r>
        <w:rPr>
          <w:rFonts w:ascii="仿宋_GB2312" w:eastAsia="仿宋_GB2312"/>
          <w:sz w:val="32"/>
          <w:szCs w:val="32"/>
        </w:rPr>
        <w:drawing>
          <wp:inline distT="0" distB="0" distL="0" distR="0">
            <wp:extent cx="2627630" cy="1751330"/>
            <wp:effectExtent l="0" t="0" r="1270" b="127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61156" cy="1773974"/>
                    </a:xfrm>
                    <a:prstGeom prst="rect">
                      <a:avLst/>
                    </a:prstGeom>
                  </pic:spPr>
                </pic:pic>
              </a:graphicData>
            </a:graphic>
          </wp:inline>
        </w:drawing>
      </w:r>
    </w:p>
    <w:p>
      <w:pPr>
        <w:spacing w:line="360" w:lineRule="auto"/>
        <w:ind w:firstLine="560" w:firstLineChars="200"/>
        <w:rPr>
          <w:rFonts w:ascii="仿宋" w:hAnsi="仿宋" w:eastAsia="仿宋"/>
          <w:sz w:val="28"/>
          <w:szCs w:val="28"/>
          <w:lang w:val="uk-UA"/>
        </w:rPr>
      </w:pPr>
      <w:r>
        <w:rPr>
          <w:rFonts w:hint="eastAsia" w:ascii="仿宋" w:hAnsi="仿宋" w:eastAsia="仿宋"/>
          <w:sz w:val="28"/>
          <w:szCs w:val="28"/>
        </w:rPr>
        <w:t>4.</w:t>
      </w:r>
      <w:r>
        <w:rPr>
          <w:rFonts w:ascii="仿宋_GB2312" w:eastAsia="仿宋_GB2312"/>
          <w:sz w:val="32"/>
          <w:szCs w:val="32"/>
        </w:rPr>
        <w:t xml:space="preserve"> </w:t>
      </w:r>
      <w:r>
        <w:rPr>
          <w:rFonts w:hint="eastAsia" w:ascii="仿宋" w:hAnsi="仿宋" w:eastAsia="仿宋"/>
          <w:sz w:val="28"/>
          <w:szCs w:val="28"/>
        </w:rPr>
        <w:t>美术绘画专业为传承和弘扬中华优秀传统文化，推进素质教育和学生的全面发展，形成浓厚的艺术文化氛围和良好的育人环境，展现美术专业的教学成果，一展学生风采，举办了迎新年美术专业学生画展。</w:t>
      </w:r>
    </w:p>
    <w:p>
      <w:pPr>
        <w:spacing w:line="360" w:lineRule="auto"/>
        <w:ind w:firstLine="560" w:firstLineChars="200"/>
        <w:rPr>
          <w:rFonts w:eastAsia="仿宋" w:asciiTheme="minorHAnsi" w:hAnsiTheme="minorHAnsi"/>
          <w:sz w:val="28"/>
          <w:szCs w:val="28"/>
          <w:lang w:val="uk-UA"/>
        </w:rPr>
      </w:pPr>
      <w:r>
        <w:rPr>
          <w:rFonts w:hint="eastAsia" w:ascii="仿宋" w:hAnsi="仿宋" w:eastAsia="仿宋"/>
          <w:sz w:val="28"/>
          <w:szCs w:val="28"/>
        </w:rPr>
        <w:t>本次画展征集了美术专业各班学生的作品近200余幅，形式包括精微素描、水彩、水粉风景、场景速写、国画、装饰画等，可谓题材丰富，形式多样，充分展示了学生的艺术才华。同学们以饱满的热情挥笔泼墨、舞动丹青、聚焦精彩，在点、线、面的节奏中，在七彩流光的韵律中表达对未来美好生活的向往。展览期间，吸引了全校师生驻足观看，受到了大家的热情关注和点赞。</w:t>
      </w:r>
      <w:r>
        <w:rPr>
          <w:rFonts w:hint="eastAsia" w:ascii="仿宋" w:hAnsi="仿宋" w:eastAsia="仿宋"/>
          <w:sz w:val="28"/>
          <w:szCs w:val="28"/>
        </w:rPr>
        <w:drawing>
          <wp:inline distT="0" distB="0" distL="0" distR="0">
            <wp:extent cx="5274310" cy="2603500"/>
            <wp:effectExtent l="0" t="0" r="2540" b="635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274310" cy="2603500"/>
                    </a:xfrm>
                    <a:prstGeom prst="rect">
                      <a:avLst/>
                    </a:prstGeom>
                  </pic:spPr>
                </pic:pic>
              </a:graphicData>
            </a:graphic>
          </wp:inline>
        </w:drawing>
      </w:r>
    </w:p>
    <w:p>
      <w:pPr>
        <w:pStyle w:val="2"/>
        <w:ind w:left="0" w:leftChars="0" w:firstLine="0" w:firstLineChars="0"/>
        <w:rPr>
          <w:rFonts w:eastAsia="仿宋"/>
          <w:lang w:val="uk-UA"/>
        </w:rPr>
      </w:pPr>
      <w:r>
        <w:rPr>
          <w:rFonts w:hint="eastAsia" w:ascii="仿宋" w:hAnsi="仿宋" w:eastAsia="仿宋"/>
          <w:sz w:val="28"/>
          <w:szCs w:val="28"/>
        </w:rPr>
        <w:drawing>
          <wp:inline distT="0" distB="0" distL="0" distR="0">
            <wp:extent cx="5274310" cy="2587625"/>
            <wp:effectExtent l="0" t="0" r="254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5274310" cy="2587625"/>
                    </a:xfrm>
                    <a:prstGeom prst="rect">
                      <a:avLst/>
                    </a:prstGeom>
                  </pic:spPr>
                </pic:pic>
              </a:graphicData>
            </a:graphic>
          </wp:inline>
        </w:drawing>
      </w:r>
    </w:p>
    <w:p>
      <w:pPr>
        <w:pStyle w:val="2"/>
        <w:ind w:left="0" w:leftChars="0" w:firstLine="0" w:firstLineChars="0"/>
        <w:rPr>
          <w:rFonts w:eastAsia="仿宋"/>
          <w:lang w:val="uk-UA"/>
        </w:rPr>
      </w:pPr>
    </w:p>
    <w:p>
      <w:pPr>
        <w:pStyle w:val="2"/>
        <w:ind w:left="0" w:leftChars="0" w:firstLine="0" w:firstLineChars="0"/>
        <w:rPr>
          <w:rFonts w:eastAsia="仿宋"/>
          <w:lang w:val="uk-UA"/>
        </w:rPr>
      </w:pPr>
      <w:r>
        <w:rPr>
          <w:rFonts w:hint="eastAsia" w:ascii="仿宋" w:hAnsi="仿宋" w:eastAsia="仿宋"/>
          <w:sz w:val="28"/>
          <w:szCs w:val="28"/>
        </w:rPr>
        <w:drawing>
          <wp:inline distT="0" distB="0" distL="0" distR="0">
            <wp:extent cx="5274310" cy="2371725"/>
            <wp:effectExtent l="0" t="0" r="2540"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5274310" cy="2371725"/>
                    </a:xfrm>
                    <a:prstGeom prst="rect">
                      <a:avLst/>
                    </a:prstGeom>
                  </pic:spPr>
                </pic:pic>
              </a:graphicData>
            </a:graphic>
          </wp:inline>
        </w:drawing>
      </w:r>
    </w:p>
    <w:p>
      <w:pPr>
        <w:spacing w:line="360" w:lineRule="auto"/>
        <w:rPr>
          <w:rFonts w:ascii="仿宋" w:hAnsi="仿宋" w:eastAsia="仿宋"/>
          <w:lang w:val="uk-UA"/>
        </w:rPr>
      </w:pPr>
      <w:r>
        <w:rPr>
          <w:rFonts w:hint="eastAsia" w:ascii="仿宋" w:hAnsi="仿宋" w:eastAsia="仿宋"/>
          <w:lang w:eastAsia="zh-CN"/>
        </w:rPr>
        <w:t>5、</w:t>
      </w:r>
      <w:r>
        <w:rPr>
          <w:rFonts w:hint="eastAsia" w:ascii="仿宋" w:hAnsi="仿宋" w:eastAsia="仿宋"/>
        </w:rPr>
        <w:t>大同一职中艺术团的师生们赴平城区南关街道友谊街康乐养老院为80余位孤寡老人献上了一场丰富多彩的慰问演出，受到了养老院全体老人和工作人员的热烈欢迎。</w:t>
      </w:r>
    </w:p>
    <w:p>
      <w:pPr>
        <w:pStyle w:val="2"/>
        <w:ind w:left="480" w:firstLine="560"/>
        <w:rPr>
          <w:rFonts w:eastAsia="仿宋"/>
          <w:lang w:val="uk-UA"/>
        </w:rPr>
      </w:pPr>
      <w:r>
        <w:rPr>
          <w:rFonts w:hint="eastAsia" w:ascii="仿宋" w:hAnsi="仿宋" w:eastAsia="仿宋"/>
          <w:sz w:val="28"/>
          <w:szCs w:val="28"/>
        </w:rPr>
        <w:drawing>
          <wp:inline distT="0" distB="0" distL="0" distR="0">
            <wp:extent cx="4419600" cy="2947670"/>
            <wp:effectExtent l="0" t="0" r="0" b="5080"/>
            <wp:docPr id="75" name="图片 75" descr="C:\Users\qqq\Desktop\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qqq\Desktop\640.webp.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4419600" cy="2947670"/>
                    </a:xfrm>
                    <a:prstGeom prst="rect">
                      <a:avLst/>
                    </a:prstGeom>
                    <a:noFill/>
                    <a:ln>
                      <a:noFill/>
                    </a:ln>
                  </pic:spPr>
                </pic:pic>
              </a:graphicData>
            </a:graphic>
          </wp:inline>
        </w:drawing>
      </w:r>
    </w:p>
    <w:p>
      <w:pPr>
        <w:pStyle w:val="2"/>
        <w:ind w:left="480" w:firstLine="560"/>
        <w:rPr>
          <w:rFonts w:eastAsia="仿宋"/>
          <w:lang w:val="uk-UA"/>
        </w:rPr>
      </w:pPr>
      <w:r>
        <w:rPr>
          <w:rFonts w:hint="eastAsia" w:ascii="仿宋" w:hAnsi="仿宋" w:eastAsia="仿宋"/>
          <w:sz w:val="28"/>
          <w:szCs w:val="28"/>
        </w:rPr>
        <w:drawing>
          <wp:inline distT="0" distB="0" distL="0" distR="0">
            <wp:extent cx="2225040" cy="2665730"/>
            <wp:effectExtent l="0" t="0" r="3810" b="1270"/>
            <wp:docPr id="76" name="图片 76" descr="C:\Users\qqq\Desktop\640.web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qqq\Desktop\640.webp (3).jpg"/>
                    <pic:cNvPicPr>
                      <a:picLocks noChangeAspect="1" noChangeArrowheads="1"/>
                    </pic:cNvPicPr>
                  </pic:nvPicPr>
                  <pic:blipFill>
                    <a:blip r:embed="rId76" cstate="print">
                      <a:extLst>
                        <a:ext uri="{28A0092B-C50C-407E-A947-70E740481C1C}">
                          <a14:useLocalDpi xmlns:a14="http://schemas.microsoft.com/office/drawing/2010/main" val="0"/>
                        </a:ext>
                      </a:extLst>
                    </a:blip>
                    <a:srcRect t="2461" b="7672"/>
                    <a:stretch>
                      <a:fillRect/>
                    </a:stretch>
                  </pic:blipFill>
                  <pic:spPr>
                    <a:xfrm>
                      <a:off x="0" y="0"/>
                      <a:ext cx="2230015" cy="2671256"/>
                    </a:xfrm>
                    <a:prstGeom prst="rect">
                      <a:avLst/>
                    </a:prstGeom>
                    <a:noFill/>
                    <a:ln>
                      <a:noFill/>
                    </a:ln>
                  </pic:spPr>
                </pic:pic>
              </a:graphicData>
            </a:graphic>
          </wp:inline>
        </w:drawing>
      </w:r>
      <w:r>
        <w:rPr>
          <w:rFonts w:hint="eastAsia" w:ascii="仿宋" w:hAnsi="仿宋" w:eastAsia="仿宋"/>
          <w:sz w:val="28"/>
          <w:szCs w:val="28"/>
        </w:rPr>
        <w:drawing>
          <wp:inline distT="0" distB="0" distL="0" distR="0">
            <wp:extent cx="2183765" cy="2668905"/>
            <wp:effectExtent l="0" t="0" r="698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93592" cy="2680199"/>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美育对学生来说是非常重要的一项教育，它影响着学生对社会生活的正确理解，影响着学生正确人生观的树立。同时，美育教育是一项长期的工作，我们深知工作中还存在很多值得提高和改进的地方，今后我校将继续贯彻落实上级部门关于美育工作的部署和要求，通过不同的方式方法来提高学生的审美意识和思想，把美育工作做得更好。</w:t>
      </w:r>
    </w:p>
    <w:p>
      <w:pPr>
        <w:pStyle w:val="4"/>
        <w:spacing w:before="0" w:after="0" w:line="360" w:lineRule="auto"/>
        <w:ind w:firstLine="562" w:firstLineChars="200"/>
        <w:jc w:val="both"/>
        <w:rPr>
          <w:rFonts w:ascii="仿宋" w:hAnsi="仿宋" w:eastAsia="仿宋" w:cs="黑体"/>
          <w:bCs w:val="0"/>
          <w:sz w:val="28"/>
          <w:szCs w:val="28"/>
        </w:rPr>
      </w:pPr>
      <w:bookmarkStart w:id="41" w:name="_Toc66798325"/>
      <w:r>
        <w:rPr>
          <w:rFonts w:hint="eastAsia" w:ascii="仿宋" w:hAnsi="仿宋" w:eastAsia="仿宋" w:cs="黑体"/>
          <w:bCs w:val="0"/>
          <w:sz w:val="28"/>
          <w:szCs w:val="28"/>
        </w:rPr>
        <w:t>8</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学校党建工作情况</w:t>
      </w:r>
      <w:bookmarkEnd w:id="41"/>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lang w:eastAsia="zh-CN"/>
        </w:rPr>
        <w:t>2020</w:t>
      </w:r>
      <w:r>
        <w:rPr>
          <w:rFonts w:hint="eastAsia" w:ascii="仿宋" w:hAnsi="仿宋" w:eastAsia="仿宋" w:cs="仿宋_GB2312"/>
          <w:sz w:val="28"/>
          <w:szCs w:val="28"/>
        </w:rPr>
        <w:t>年，大同市教育系统坚持高举习近平新时代中国特色社会主义思想伟大旗帜，认真学习贯彻</w:t>
      </w:r>
      <w:r>
        <w:rPr>
          <w:rFonts w:hint="eastAsia" w:ascii="仿宋" w:hAnsi="仿宋" w:eastAsia="仿宋" w:cs="仿宋_GB2312"/>
          <w:sz w:val="28"/>
          <w:szCs w:val="28"/>
          <w:lang w:eastAsia="zh-CN"/>
        </w:rPr>
        <w:t xml:space="preserve"> </w:t>
      </w:r>
      <w:r>
        <w:rPr>
          <w:rFonts w:hint="eastAsia" w:ascii="仿宋" w:hAnsi="仿宋" w:eastAsia="仿宋" w:cs="仿宋_GB2312"/>
          <w:sz w:val="28"/>
          <w:szCs w:val="28"/>
        </w:rPr>
        <w:t>党的十九大精神</w:t>
      </w:r>
      <w:r>
        <w:rPr>
          <w:rFonts w:hint="eastAsia" w:ascii="仿宋" w:hAnsi="仿宋" w:eastAsia="仿宋" w:cs="仿宋_GB2312"/>
          <w:sz w:val="28"/>
          <w:szCs w:val="28"/>
          <w:lang w:eastAsia="zh-CN"/>
        </w:rPr>
        <w:t>和习近平总书记视察山西重要讲话重要指示精神</w:t>
      </w:r>
      <w:r>
        <w:rPr>
          <w:rFonts w:hint="eastAsia" w:ascii="仿宋" w:hAnsi="仿宋" w:eastAsia="仿宋" w:cs="仿宋_GB2312"/>
          <w:sz w:val="28"/>
          <w:szCs w:val="28"/>
        </w:rPr>
        <w:t>，全面加强党的建设，教育系统思想、组织、作风、制度建设不断深入。各职业学校党组书记带头抓好责任落实，把抓党建工作摆在了重要位置，注重发挥党建的引领作用，推动党建工作责任落实。</w:t>
      </w:r>
    </w:p>
    <w:p>
      <w:pPr>
        <w:pStyle w:val="12"/>
        <w:jc w:val="left"/>
        <w:rPr>
          <w:rFonts w:eastAsia="仿宋" w:cs="仿宋_GB2312" w:asciiTheme="minorHAnsi" w:hAnsiTheme="minorHAnsi"/>
          <w:b w:val="0"/>
          <w:bCs w:val="0"/>
          <w:sz w:val="28"/>
          <w:szCs w:val="28"/>
          <w:lang w:val="uk-UA"/>
        </w:rPr>
      </w:pPr>
      <w:r>
        <w:rPr>
          <w:rFonts w:hint="eastAsia" w:ascii="仿宋" w:hAnsi="仿宋" w:eastAsia="仿宋" w:cs="仿宋_GB2312"/>
          <w:b w:val="0"/>
          <w:bCs w:val="0"/>
          <w:sz w:val="28"/>
          <w:szCs w:val="28"/>
        </w:rPr>
        <w:t>8.1.1坚持用习近平新时代中国特色社会主义思想武装头脑</w:t>
      </w:r>
    </w:p>
    <w:p>
      <w:pPr>
        <w:pStyle w:val="2"/>
        <w:spacing w:line="360" w:lineRule="auto"/>
        <w:ind w:left="0" w:leftChars="0" w:firstLine="560"/>
        <w:jc w:val="both"/>
        <w:rPr>
          <w:rFonts w:ascii="仿宋" w:hAnsi="仿宋" w:eastAsia="仿宋" w:cs="仿宋_GB2312"/>
          <w:sz w:val="28"/>
          <w:szCs w:val="28"/>
        </w:rPr>
      </w:pPr>
      <w:r>
        <w:rPr>
          <w:rFonts w:hint="eastAsia" w:ascii="仿宋" w:hAnsi="仿宋" w:eastAsia="仿宋" w:cs="仿宋_GB2312"/>
          <w:sz w:val="28"/>
          <w:szCs w:val="28"/>
        </w:rPr>
        <w:t>把习近平新时代中国特色社会主义思想作为干事创业的行动指南，重温习近平总书记“三篇光辉文献”，通过集中交流、心得体会、专题研讨等方式，推进党的十九届四中、五中全会精神和2020年全国“两会”精神进校园、进课堂、进头脑，引导党员干部、教职工牢固树立“四个意识”，坚定“四个自信”，自觉用立德树人、教书育人的实际行动和成效践行“两个维护”。局机关领导班子成员带头开展各类宣讲、带头抓好贯彻落实，既当宣讲员，又当实干家，做习近平新时代中国特色社会主义思想的积极传播者、有力推动者、忠实实践者。市教育局党组书记、局长范振凯同志带头宣讲党的十九届四中、五中全会精神，各级领导干部分层宣讲全会精神107次，覆盖师生3万名。召开局机关传达贯彻党的十九届五中全会精神大会，深刻理解全会的重大意义，切实增强“四个意识”、坚定“四个自信”、做到“两个维护”，把思想和行动高度统一到以习近平同志为核心的党中央决策部署上来，不折不扣抓好贯彻落实，确保全会精神在教育系统落地生根、开花结果。深入学习宣传贯彻习近平新时代中国特色社会主义思想，组织全市教育系统《习近平谈治国理政》第三卷宣讲大会53场（次），受众达5万余人。积极推进习近平新时代中国特色社会主义思想进校园、进机关、进企业、进农村、进社区、进网络，选派大同市电化教育馆冯伟等11位同志参加“大同市新时代理论宣讲团”，开展好党的理论、路线方针政策和社会主义核心价值观的宣讲。</w:t>
      </w:r>
    </w:p>
    <w:p>
      <w:pPr>
        <w:pStyle w:val="12"/>
        <w:jc w:val="left"/>
        <w:rPr>
          <w:rFonts w:eastAsia="仿宋" w:cs="仿宋_GB2312" w:asciiTheme="minorHAnsi" w:hAnsiTheme="minorHAnsi"/>
          <w:b w:val="0"/>
          <w:bCs w:val="0"/>
          <w:sz w:val="28"/>
          <w:szCs w:val="28"/>
          <w:lang w:val="uk-UA"/>
        </w:rPr>
      </w:pPr>
      <w:r>
        <w:rPr>
          <w:rFonts w:hint="eastAsia" w:ascii="仿宋" w:hAnsi="仿宋" w:eastAsia="仿宋" w:cs="仿宋_GB2312"/>
          <w:b w:val="0"/>
          <w:bCs w:val="0"/>
          <w:sz w:val="28"/>
          <w:szCs w:val="28"/>
        </w:rPr>
        <w:t>8.1.2掀起学习习近平总书记考察山西重要讲话精神的热潮</w:t>
      </w:r>
    </w:p>
    <w:p>
      <w:pPr>
        <w:pStyle w:val="2"/>
        <w:spacing w:line="360" w:lineRule="auto"/>
        <w:ind w:left="0" w:leftChars="0" w:firstLine="560"/>
        <w:jc w:val="both"/>
        <w:rPr>
          <w:rFonts w:ascii="仿宋" w:hAnsi="仿宋" w:eastAsia="仿宋" w:cs="仿宋_GB2312"/>
          <w:sz w:val="28"/>
          <w:szCs w:val="28"/>
        </w:rPr>
      </w:pPr>
      <w:r>
        <w:rPr>
          <w:rFonts w:hint="eastAsia" w:ascii="仿宋" w:hAnsi="仿宋" w:eastAsia="仿宋" w:cs="仿宋_GB2312"/>
          <w:sz w:val="28"/>
          <w:szCs w:val="28"/>
        </w:rPr>
        <w:t>第一时间组织机关干部、教育系统干部师生通过集中学习、交流研讨等形式，深入学习习近平总书记视察山西重要讲话重要指示精神，印发学习资料汇编70余册，党员干部人人谈心得、说体会，组织市直47家单位3000余名党员学习精神全覆盖。组织习近平总书记视察山西重要讲话重要指示基层宣讲共361场，受众4万余人次。邀请市委讲师团和亲历习近平总书记视察大同的代表作了“习近平总书记在大同”教育系统宣讲报告会，组织了全市教育系统领导干部学习贯彻习近平总书记视察山西重要讲话重要指示精神专题培训会，组织了全市教育系统领导干部“践行领袖嘱托，率先蹚出新路”，重走习总书记视察大同</w:t>
      </w:r>
      <w:r>
        <w:rPr>
          <w:rFonts w:hint="eastAsia" w:ascii="仿宋" w:hAnsi="仿宋" w:eastAsia="仿宋" w:cs="仿宋_GB2312"/>
          <w:sz w:val="28"/>
          <w:szCs w:val="28"/>
          <w:lang w:eastAsia="zh-CN"/>
        </w:rPr>
        <w:t>路线</w:t>
      </w:r>
      <w:r>
        <w:rPr>
          <w:rFonts w:hint="eastAsia" w:ascii="仿宋" w:hAnsi="仿宋" w:eastAsia="仿宋" w:cs="仿宋_GB2312"/>
          <w:sz w:val="28"/>
          <w:szCs w:val="28"/>
        </w:rPr>
        <w:t>。</w:t>
      </w:r>
    </w:p>
    <w:p>
      <w:pPr>
        <w:pStyle w:val="2"/>
        <w:spacing w:line="360" w:lineRule="auto"/>
        <w:ind w:left="0" w:leftChars="0" w:firstLine="0" w:firstLineChars="0"/>
        <w:jc w:val="both"/>
        <w:rPr>
          <w:rFonts w:ascii="仿宋" w:hAnsi="仿宋" w:eastAsia="仿宋" w:cs="仿宋_GB2312"/>
          <w:sz w:val="28"/>
          <w:szCs w:val="28"/>
          <w:lang w:eastAsia="zh-CN"/>
        </w:rPr>
      </w:pPr>
      <w:r>
        <w:rPr>
          <w:rFonts w:hint="eastAsia" w:ascii="仿宋" w:hAnsi="仿宋" w:eastAsia="仿宋" w:cs="仿宋_GB2312"/>
          <w:sz w:val="28"/>
          <w:szCs w:val="28"/>
          <w:lang w:eastAsia="zh-CN"/>
        </w:rPr>
        <w:t xml:space="preserve">    8.1.3全面加强基层党的建设。一是积极推动“学习强国”平台、“大同智慧党建”“三晋先锋”党建平台的使用。选配基层协调能力强、业务水平高、信息化素养好的党员建立平台管理员队伍，形成书记管总、分管领导主抓、管理员具体落实的推进格局，通过微信工作群，畅通管理督促渠道，提高推进效率。认真研究不同党建平台各项功能的使用方法和积分规则，编写操作使用手册和问答手册下发基层，使各管理员熟悉业务，更快更好开展工作。二是进一步严格和规范党内政治生活。强化党员教育管理，充分发挥党支部战斗堡垒作用和党员先锋模范作用，印发《全市教育系统2020年支部主题党日活动计划》，通过定期开展主题党日活动，引导党员不断强化党员的身份意识，增强对党组织的归属感。印发《大同市中小学校党支部规范化建设制度汇编》和《党支部工作规范化记录本》，印发《中共大同市教育工作委员会关于培育创建一批党建工作示范支部的通知》，培育创建30个左右“阵地建设规范、规章制度健全、资料规范齐全、组织活动经常、党员管理到位、工作特色突出”的党建工作示范支部。三是持之以恒正风肃纪。召开2020年全市教育系统全面从严治党工作会议和全市教育系统党风廉政建设推进会，严格落实全面从严治党主体责任、监督责任和“一岗双责”要求。印发《中共大同市教育工作委员会 中共大同市教育局党组落实全面从严治党主体责任2020年任务安排》《2020年度市教育局党组领导班子履行全面从严治党主体责任工作清单》《关于建立完善基层党建工作联系点制度的通知》，进一步压实责任，明确职责。召开全市教育系统警示教育大会，教育引导全市教育系统广大党员干部深刻汲取“张慧凌案”和“仝卓事件”有关案件教训，以案为镜、以案明纪，树牢“四个意识”、坚定“四个自信”、坚决做到“两个维护”。严格落实中央八项规定精神和市纪委关于作风问题的相关规定，紧盯“中秋”“国庆”重要时间节点，重点提醒，抓早抓小,教育引导广大党员干部和教师切实树立纪律意识和规矩意识。及时处办市纪委信访室、驻局检查组转交信访举报件，持续推进群众身边腐败问题专项整治。</w:t>
      </w:r>
    </w:p>
    <w:p>
      <w:pPr>
        <w:pStyle w:val="12"/>
        <w:spacing w:line="360" w:lineRule="auto"/>
        <w:jc w:val="left"/>
        <w:rPr>
          <w:rFonts w:ascii="仿宋" w:hAnsi="仿宋" w:eastAsia="仿宋" w:cs="楷体"/>
          <w:bCs w:val="0"/>
          <w:kern w:val="32"/>
          <w:sz w:val="28"/>
          <w:szCs w:val="28"/>
          <w:lang w:eastAsia="zh-CN"/>
        </w:rPr>
      </w:pPr>
      <w:r>
        <w:rPr>
          <w:rFonts w:hint="eastAsia" w:ascii="仿宋" w:hAnsi="仿宋" w:eastAsia="仿宋" w:cs="楷体"/>
          <w:bCs w:val="0"/>
          <w:kern w:val="32"/>
          <w:sz w:val="28"/>
          <w:szCs w:val="28"/>
          <w:lang w:eastAsia="zh-CN"/>
        </w:rPr>
        <w:t>9.主要问题和改进措施</w:t>
      </w:r>
    </w:p>
    <w:p>
      <w:pPr>
        <w:pStyle w:val="2"/>
        <w:spacing w:line="360" w:lineRule="auto"/>
        <w:ind w:left="0" w:leftChars="0" w:firstLine="560"/>
        <w:jc w:val="both"/>
        <w:rPr>
          <w:rFonts w:ascii="仿宋" w:hAnsi="仿宋" w:eastAsia="仿宋" w:cs="仿宋_GB2312"/>
          <w:sz w:val="28"/>
          <w:szCs w:val="28"/>
          <w:lang w:eastAsia="zh-CN"/>
        </w:rPr>
      </w:pPr>
      <w:r>
        <w:rPr>
          <w:rFonts w:hint="eastAsia" w:ascii="仿宋" w:hAnsi="仿宋" w:eastAsia="仿宋" w:cs="仿宋_GB2312"/>
          <w:sz w:val="28"/>
          <w:szCs w:val="28"/>
          <w:lang w:eastAsia="zh-CN"/>
        </w:rPr>
        <w:t>存在的问题</w:t>
      </w:r>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职业教育作为国民教育体系的一部分，涵括许多基础教育和学前教育存在的共性问题，但由于职业教育自身具有地域行业性、技术技能性和市场导向性等特点，使其具有不同于基础教育和学前教育的问题表现。</w:t>
      </w:r>
    </w:p>
    <w:p>
      <w:pPr>
        <w:pStyle w:val="4"/>
        <w:spacing w:before="0" w:after="0" w:line="360" w:lineRule="auto"/>
        <w:ind w:firstLine="560"/>
        <w:jc w:val="both"/>
        <w:rPr>
          <w:rFonts w:ascii="仿宋" w:hAnsi="仿宋" w:eastAsia="仿宋" w:cs="黑体"/>
          <w:bCs w:val="0"/>
          <w:sz w:val="28"/>
          <w:szCs w:val="28"/>
        </w:rPr>
      </w:pPr>
      <w:bookmarkStart w:id="42" w:name="_Toc66798326"/>
      <w:r>
        <w:rPr>
          <w:rFonts w:hint="eastAsia" w:ascii="仿宋" w:hAnsi="仿宋" w:eastAsia="仿宋" w:cs="黑体"/>
          <w:bCs w:val="0"/>
          <w:sz w:val="28"/>
          <w:szCs w:val="28"/>
        </w:rPr>
        <w:t>9</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1主要问题</w:t>
      </w:r>
      <w:bookmarkEnd w:id="42"/>
    </w:p>
    <w:p>
      <w:pPr>
        <w:pStyle w:val="4"/>
        <w:spacing w:before="0" w:after="0" w:line="360" w:lineRule="auto"/>
        <w:ind w:firstLine="560"/>
        <w:jc w:val="both"/>
        <w:rPr>
          <w:rFonts w:ascii="仿宋" w:hAnsi="仿宋" w:eastAsia="仿宋" w:cs="黑体"/>
          <w:bCs w:val="0"/>
          <w:sz w:val="28"/>
          <w:szCs w:val="28"/>
        </w:rPr>
      </w:pPr>
      <w:bookmarkStart w:id="43" w:name="_Toc66798327"/>
      <w:r>
        <w:rPr>
          <w:rFonts w:hint="eastAsia" w:ascii="仿宋" w:hAnsi="仿宋" w:eastAsia="仿宋" w:cs="黑体"/>
          <w:bCs w:val="0"/>
          <w:sz w:val="28"/>
          <w:szCs w:val="28"/>
        </w:rPr>
        <w:t>9</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1</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1职业教育发展不均衡，“小、散、弱”问题突出</w:t>
      </w:r>
      <w:bookmarkEnd w:id="43"/>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“小”主要表现在学校规模上。我市职业学校，普遍存在着和规模小、在校生少、占地面积局促、教学设施不完备等问题。如我市3</w:t>
      </w:r>
      <w:r>
        <w:rPr>
          <w:rFonts w:hint="eastAsia" w:ascii="仿宋" w:hAnsi="仿宋" w:eastAsia="仿宋" w:cs="仿宋_GB2312"/>
          <w:sz w:val="28"/>
          <w:szCs w:val="28"/>
          <w:lang w:eastAsia="zh-CN"/>
        </w:rPr>
        <w:t>5</w:t>
      </w:r>
      <w:r>
        <w:rPr>
          <w:rFonts w:hint="eastAsia" w:ascii="仿宋" w:hAnsi="仿宋" w:eastAsia="仿宋" w:cs="仿宋_GB2312"/>
          <w:sz w:val="28"/>
          <w:szCs w:val="28"/>
        </w:rPr>
        <w:t>所中职学校在校生不足500人的有1</w:t>
      </w:r>
      <w:r>
        <w:rPr>
          <w:rFonts w:hint="eastAsia" w:ascii="仿宋" w:hAnsi="仿宋" w:eastAsia="仿宋" w:cs="仿宋_GB2312"/>
          <w:sz w:val="28"/>
          <w:szCs w:val="28"/>
          <w:lang w:eastAsia="zh-CN"/>
        </w:rPr>
        <w:t>2</w:t>
      </w:r>
      <w:r>
        <w:rPr>
          <w:rFonts w:hint="eastAsia" w:ascii="仿宋" w:hAnsi="仿宋" w:eastAsia="仿宋" w:cs="仿宋_GB2312"/>
          <w:sz w:val="28"/>
          <w:szCs w:val="28"/>
        </w:rPr>
        <w:t>所，占总数的</w:t>
      </w:r>
      <w:r>
        <w:rPr>
          <w:rFonts w:hint="eastAsia" w:ascii="仿宋" w:hAnsi="仿宋" w:eastAsia="仿宋" w:cs="仿宋_GB2312"/>
          <w:sz w:val="28"/>
          <w:szCs w:val="28"/>
          <w:lang w:eastAsia="zh-CN"/>
        </w:rPr>
        <w:t>34.28</w:t>
      </w:r>
      <w:r>
        <w:rPr>
          <w:rFonts w:hint="eastAsia" w:ascii="仿宋" w:hAnsi="仿宋" w:eastAsia="仿宋" w:cs="仿宋_GB2312"/>
          <w:sz w:val="28"/>
          <w:szCs w:val="28"/>
        </w:rPr>
        <w:t>％，其中在校生不足200人的有5所。按照教育部制定的中职学校办学标准，我市还有50％以上学校达不到合格。“散”主要表现在管理体制上。目前我市中职院校大多创建于上世纪，分别隶属于不同行业主管部门或者企业。由不同的主管部门决定学校的干部配备、教学管理、经费保障、专业设置、招生分配，曾为行业和企业培养了大批技术人才。但随着改革的不断深入，经济体制的转变，特别是教育体制和招生制度改革，分散在各行业职校由于各自为政，缺乏政府教育主管部门统筹指导，出现了专业设置集中、同质化严重的问题，一定程度上造成教育资源浪费，制约职业教育健康发展。“弱”主要表现在师资配备上。职业学校教师队伍质量普遍不高，师资队伍结构不合理，双师型教师短缺，专业性老师明显不足，与之相对应的是人才培养操作能力较差、适用性技术不够全面。另一方面，由于职业学校缺乏完善的评价体系和升学压力，教师队伍普遍存在精神倦怠，在学术研讨、能力提升上缺乏动力，教学积极性不高。</w:t>
      </w:r>
    </w:p>
    <w:p>
      <w:pPr>
        <w:pStyle w:val="4"/>
        <w:spacing w:before="0" w:after="0" w:line="360" w:lineRule="auto"/>
        <w:ind w:firstLine="560"/>
        <w:jc w:val="both"/>
        <w:rPr>
          <w:rFonts w:ascii="仿宋" w:hAnsi="仿宋" w:eastAsia="仿宋" w:cs="黑体"/>
          <w:bCs w:val="0"/>
          <w:sz w:val="28"/>
          <w:szCs w:val="28"/>
        </w:rPr>
      </w:pPr>
      <w:bookmarkStart w:id="44" w:name="_Toc66798328"/>
      <w:r>
        <w:rPr>
          <w:rFonts w:hint="eastAsia" w:ascii="仿宋" w:hAnsi="仿宋" w:eastAsia="仿宋" w:cs="黑体"/>
          <w:bCs w:val="0"/>
          <w:sz w:val="28"/>
          <w:szCs w:val="28"/>
        </w:rPr>
        <w:t>9</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1</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2现代职业教育体系不完善，中职学校分布集中且招生情况不理想</w:t>
      </w:r>
      <w:bookmarkEnd w:id="44"/>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一是我市职业教育办学层次低，高等专科院校在职教总量中的占比小，仅有</w:t>
      </w:r>
      <w:r>
        <w:rPr>
          <w:rFonts w:hint="eastAsia" w:ascii="仿宋" w:hAnsi="仿宋" w:eastAsia="仿宋" w:cs="仿宋_GB2312"/>
          <w:sz w:val="28"/>
          <w:szCs w:val="28"/>
          <w:lang w:eastAsia="zh-CN"/>
        </w:rPr>
        <w:t>3</w:t>
      </w:r>
      <w:r>
        <w:rPr>
          <w:rFonts w:hint="eastAsia" w:ascii="仿宋" w:hAnsi="仿宋" w:eastAsia="仿宋" w:cs="仿宋_GB2312"/>
          <w:sz w:val="28"/>
          <w:szCs w:val="28"/>
        </w:rPr>
        <w:t>所高职院校对应全市3</w:t>
      </w:r>
      <w:r>
        <w:rPr>
          <w:rFonts w:hint="eastAsia" w:ascii="仿宋" w:hAnsi="仿宋" w:eastAsia="仿宋" w:cs="仿宋_GB2312"/>
          <w:sz w:val="28"/>
          <w:szCs w:val="28"/>
          <w:lang w:eastAsia="zh-CN"/>
        </w:rPr>
        <w:t>4</w:t>
      </w:r>
      <w:r>
        <w:rPr>
          <w:rFonts w:hint="eastAsia" w:ascii="仿宋" w:hAnsi="仿宋" w:eastAsia="仿宋" w:cs="仿宋_GB2312"/>
          <w:sz w:val="28"/>
          <w:szCs w:val="28"/>
        </w:rPr>
        <w:t>所中职学校，缺乏内部连贯性提升，不能很好满足本地中、高等职业学校的衔接，不利于高素质的劳动者和技能人才的培养。二是多主体、多形式的职业教育与多样化需求对接仍然不够，公办职教一家独大，民办学校的管理灵活性和市场敏锐性没有得到很好的发挥，如大同市兴同艺术师范学校、浑源县大方高级职业学校等仅有的几所民办职校由于自身实力有限，只能小规模运营。三是学校布局不合理，招生困难。我市中职学校地理位置分布集中，其中市区内有中职学校1</w:t>
      </w:r>
      <w:r>
        <w:rPr>
          <w:rFonts w:hint="eastAsia" w:ascii="仿宋" w:hAnsi="仿宋" w:eastAsia="仿宋" w:cs="仿宋_GB2312"/>
          <w:sz w:val="28"/>
          <w:szCs w:val="28"/>
          <w:lang w:eastAsia="zh-CN"/>
        </w:rPr>
        <w:t>2</w:t>
      </w:r>
      <w:r>
        <w:rPr>
          <w:rFonts w:hint="eastAsia" w:ascii="仿宋" w:hAnsi="仿宋" w:eastAsia="仿宋" w:cs="仿宋_GB2312"/>
          <w:sz w:val="28"/>
          <w:szCs w:val="28"/>
        </w:rPr>
        <w:t>所，云冈区</w:t>
      </w:r>
      <w:r>
        <w:rPr>
          <w:rFonts w:hint="eastAsia" w:ascii="仿宋" w:hAnsi="仿宋" w:eastAsia="仿宋" w:cs="仿宋_GB2312"/>
          <w:sz w:val="28"/>
          <w:szCs w:val="28"/>
          <w:lang w:eastAsia="zh-CN"/>
        </w:rPr>
        <w:t>3</w:t>
      </w:r>
      <w:r>
        <w:rPr>
          <w:rFonts w:hint="eastAsia" w:ascii="仿宋" w:hAnsi="仿宋" w:eastAsia="仿宋" w:cs="仿宋_GB2312"/>
          <w:sz w:val="28"/>
          <w:szCs w:val="28"/>
        </w:rPr>
        <w:t>所、浑源县3所、灵丘县3所，专业设置趋同化严重，招生领域存在恶性竞争，导致各校生源逐年萎缩，多所中职学校招生持续低迷。</w:t>
      </w:r>
    </w:p>
    <w:p>
      <w:pPr>
        <w:pStyle w:val="4"/>
        <w:spacing w:before="0" w:after="0" w:line="360" w:lineRule="auto"/>
        <w:ind w:firstLine="560"/>
        <w:jc w:val="both"/>
        <w:rPr>
          <w:rFonts w:ascii="仿宋" w:hAnsi="仿宋" w:eastAsia="仿宋" w:cs="黑体"/>
          <w:bCs w:val="0"/>
          <w:sz w:val="28"/>
          <w:szCs w:val="28"/>
        </w:rPr>
      </w:pPr>
      <w:bookmarkStart w:id="45" w:name="_Toc66798329"/>
      <w:r>
        <w:rPr>
          <w:rFonts w:hint="eastAsia" w:ascii="仿宋" w:hAnsi="仿宋" w:eastAsia="仿宋" w:cs="黑体"/>
          <w:bCs w:val="0"/>
          <w:sz w:val="28"/>
          <w:szCs w:val="28"/>
        </w:rPr>
        <w:t>9</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1</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3校企合作力度不够大，程度不够深入，职业学校服务经济转型发展滞后</w:t>
      </w:r>
      <w:bookmarkEnd w:id="45"/>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部分职业学校专业设置和特色定位过度倚重传统产业，缺乏改革创新意识，办学模式相对封闭。“企校政”在产业结构调整和人才需求信息渠道等方面沟通不畅，不少职校在主动服务地方经济建设和社会发展中存在滞后性，在新能源装备制造业、光伏产业、特色农业、文旅创意产业等方面的专业设置跟进缓慢，难以满足我市加快推进产业转型项目升级的需要。</w:t>
      </w:r>
    </w:p>
    <w:p>
      <w:pPr>
        <w:pStyle w:val="4"/>
        <w:spacing w:before="0" w:after="0" w:line="360" w:lineRule="auto"/>
        <w:ind w:firstLine="560"/>
        <w:jc w:val="both"/>
        <w:rPr>
          <w:rFonts w:ascii="仿宋" w:hAnsi="仿宋" w:eastAsia="仿宋" w:cs="黑体"/>
          <w:bCs w:val="0"/>
          <w:sz w:val="28"/>
          <w:szCs w:val="28"/>
        </w:rPr>
      </w:pPr>
      <w:bookmarkStart w:id="46" w:name="_Toc66798330"/>
      <w:r>
        <w:rPr>
          <w:rFonts w:hint="eastAsia" w:ascii="仿宋" w:hAnsi="仿宋" w:eastAsia="仿宋" w:cs="黑体"/>
          <w:bCs w:val="0"/>
          <w:sz w:val="28"/>
          <w:szCs w:val="28"/>
        </w:rPr>
        <w:t>9</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2下一步工作思路和改进措施</w:t>
      </w:r>
      <w:bookmarkEnd w:id="46"/>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为服务我市产业转型和结构性调整，实现高质量发展的目标，基于我市职教现状和问题，将从以下几个方面改进：</w:t>
      </w:r>
    </w:p>
    <w:p>
      <w:pPr>
        <w:pStyle w:val="4"/>
        <w:spacing w:before="0" w:after="0" w:line="360" w:lineRule="auto"/>
        <w:ind w:firstLine="560"/>
        <w:jc w:val="both"/>
        <w:rPr>
          <w:rFonts w:ascii="仿宋" w:hAnsi="仿宋" w:eastAsia="仿宋" w:cs="黑体"/>
          <w:bCs w:val="0"/>
          <w:sz w:val="28"/>
          <w:szCs w:val="28"/>
        </w:rPr>
      </w:pPr>
      <w:bookmarkStart w:id="47" w:name="_Toc66798331"/>
      <w:r>
        <w:rPr>
          <w:rFonts w:hint="eastAsia" w:ascii="仿宋" w:hAnsi="仿宋" w:eastAsia="仿宋" w:cs="黑体"/>
          <w:bCs w:val="0"/>
          <w:sz w:val="28"/>
          <w:szCs w:val="28"/>
        </w:rPr>
        <w:t>9</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2</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1加强政府对职业教育的统筹，把职业教育发展纳入区域经济社会发展规划，在体制机制改革上探索创新</w:t>
      </w:r>
      <w:bookmarkEnd w:id="47"/>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一是加强组织领导。成立职业教育改革发展领导组，更新完善大同市职业教育联席会议制度，</w:t>
      </w:r>
      <w:r>
        <w:rPr>
          <w:rFonts w:hint="eastAsia" w:ascii="仿宋" w:hAnsi="仿宋" w:eastAsia="仿宋" w:cs="仿宋_GB2312"/>
          <w:sz w:val="28"/>
          <w:szCs w:val="28"/>
          <w:lang w:eastAsia="zh-CN"/>
        </w:rPr>
        <w:t>涵盖</w:t>
      </w:r>
      <w:r>
        <w:rPr>
          <w:rFonts w:hint="eastAsia" w:ascii="仿宋" w:hAnsi="仿宋" w:eastAsia="仿宋" w:cs="仿宋_GB2312"/>
          <w:sz w:val="28"/>
          <w:szCs w:val="28"/>
        </w:rPr>
        <w:t>教育、人社、文旅、卫生等多个部门，打破部门、行业、学校类型界限，加强对职业教育的统筹、协调和管理，共同研究推进职业教育的改革与发展</w:t>
      </w:r>
      <w:r>
        <w:rPr>
          <w:rFonts w:hint="eastAsia" w:ascii="仿宋" w:hAnsi="仿宋" w:eastAsia="仿宋" w:cs="仿宋_GB2312"/>
          <w:sz w:val="28"/>
          <w:szCs w:val="28"/>
          <w:lang w:eastAsia="zh-CN"/>
        </w:rPr>
        <w:t>，</w:t>
      </w:r>
      <w:r>
        <w:rPr>
          <w:rFonts w:hint="eastAsia" w:ascii="仿宋" w:hAnsi="仿宋" w:eastAsia="仿宋" w:cs="仿宋_GB2312"/>
          <w:sz w:val="28"/>
          <w:szCs w:val="28"/>
        </w:rPr>
        <w:t>促进职业教育与地方经济社会发展相适应。二是强化政策支持。形成以《国家职业教育改革实施方案》为总纲，以《大同市产教融合实施方案》等配套文件和相关方案为支撑的顶层设计，从教育规模、办学结构、办学水平、教师培养、产教融合、发展环境上为职业教育发展制定“路线图”。三是创新办学体制。借产教融合试点城市“东风”，按照“政府主导、市场驱动、产教融合、互利共赢”原则，充分发挥职业院校、行业、企业、科研机构、社会组织等各自优势，组建类型多样、覆盖面广，具有聚集优势和发展活力的现代职教集团。积极探索产教深度融合、校企紧密合作的途径、模式和保障体系，积累集团化办学经验，推进校企深入合作、产教深度融合，促进职业学校实现规模和质量快速提升。</w:t>
      </w:r>
    </w:p>
    <w:p>
      <w:pPr>
        <w:pStyle w:val="4"/>
        <w:spacing w:before="0" w:after="0" w:line="360" w:lineRule="auto"/>
        <w:ind w:firstLine="560"/>
        <w:jc w:val="both"/>
        <w:rPr>
          <w:rFonts w:ascii="仿宋" w:hAnsi="仿宋" w:eastAsia="仿宋" w:cs="黑体"/>
          <w:bCs w:val="0"/>
          <w:sz w:val="28"/>
          <w:szCs w:val="28"/>
        </w:rPr>
      </w:pPr>
      <w:bookmarkStart w:id="48" w:name="_Toc66798332"/>
      <w:r>
        <w:rPr>
          <w:rFonts w:hint="eastAsia" w:ascii="仿宋" w:hAnsi="仿宋" w:eastAsia="仿宋" w:cs="黑体"/>
          <w:bCs w:val="0"/>
          <w:sz w:val="28"/>
          <w:szCs w:val="28"/>
        </w:rPr>
        <w:t>9</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2</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2以产业转型升级为引领，调整专业结构，提升职业教育服务经济社会发展的能力</w:t>
      </w:r>
      <w:bookmarkEnd w:id="48"/>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借助国家“十</w:t>
      </w:r>
      <w:r>
        <w:rPr>
          <w:rFonts w:hint="eastAsia" w:ascii="仿宋" w:hAnsi="仿宋" w:eastAsia="仿宋" w:cs="仿宋_GB2312"/>
          <w:sz w:val="28"/>
          <w:szCs w:val="28"/>
          <w:lang w:eastAsia="zh-CN"/>
        </w:rPr>
        <w:t>四</w:t>
      </w:r>
      <w:r>
        <w:rPr>
          <w:rFonts w:hint="eastAsia" w:ascii="仿宋" w:hAnsi="仿宋" w:eastAsia="仿宋" w:cs="仿宋_GB2312"/>
          <w:sz w:val="28"/>
          <w:szCs w:val="28"/>
        </w:rPr>
        <w:t>五”产业结构调整的机会，紧紧抓住蒙晋冀（乌大张）长城金三角合作区纳入《京津冀协同发展规划纲要》和《环渤海地区合作发展纲要》的新机遇，充分利用大同独特的区位优势，以市场需求为导向，以产业转型升级为目标，统筹专业规划设置。密切对接首都产业转移和区域合作产业，紧紧围绕现代煤化工、先进装备制造、新能源新材料、生物医药、功能农业、现代物流、文化旅游等新兴产业发展需要，突出“一校一品”，着力建设开发新兴产业为先导、先进制造业为支柱、生产性服务业为支撑、具有地方特色和显著优势的重点专业集群。</w:t>
      </w:r>
    </w:p>
    <w:p>
      <w:pPr>
        <w:pStyle w:val="4"/>
        <w:spacing w:before="0" w:after="0" w:line="360" w:lineRule="auto"/>
        <w:ind w:firstLine="560"/>
        <w:jc w:val="both"/>
        <w:rPr>
          <w:rFonts w:ascii="仿宋" w:hAnsi="仿宋" w:eastAsia="仿宋" w:cs="黑体"/>
          <w:bCs w:val="0"/>
          <w:sz w:val="28"/>
          <w:szCs w:val="28"/>
        </w:rPr>
      </w:pPr>
      <w:bookmarkStart w:id="49" w:name="_Toc66798333"/>
      <w:r>
        <w:rPr>
          <w:rFonts w:hint="eastAsia" w:ascii="仿宋" w:hAnsi="仿宋" w:eastAsia="仿宋" w:cs="黑体"/>
          <w:bCs w:val="0"/>
          <w:sz w:val="28"/>
          <w:szCs w:val="28"/>
        </w:rPr>
        <w:t>9</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2</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3以提升职业教育办学质量为目标，整合各类职教资源，合理调整职业学校布局</w:t>
      </w:r>
      <w:bookmarkEnd w:id="49"/>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一是整合区域内职业教育资源。进一步优化市域内各类职教资源配置，强化区域内职业教育资源的统筹和利用，实现同一地区内职业学校错位发展特色发展。按学校规模进行整合，根据现有职业教育构架，通过合并、联办、划转等形式，对规模效益小、办学条件差、办学质量低的学校进行资源重组，市区内保留</w:t>
      </w:r>
      <w:r>
        <w:rPr>
          <w:rFonts w:hint="eastAsia" w:ascii="仿宋" w:hAnsi="仿宋" w:eastAsia="仿宋" w:cs="仿宋_GB2312"/>
          <w:sz w:val="28"/>
          <w:szCs w:val="28"/>
          <w:lang w:eastAsia="zh-CN"/>
        </w:rPr>
        <w:t>2-3</w:t>
      </w:r>
      <w:r>
        <w:rPr>
          <w:rFonts w:hint="eastAsia" w:ascii="仿宋" w:hAnsi="仿宋" w:eastAsia="仿宋" w:cs="仿宋_GB2312"/>
          <w:sz w:val="28"/>
          <w:szCs w:val="28"/>
        </w:rPr>
        <w:t>所中职学校</w:t>
      </w:r>
      <w:r>
        <w:rPr>
          <w:rFonts w:hint="eastAsia" w:ascii="仿宋" w:hAnsi="仿宋" w:eastAsia="仿宋" w:cs="仿宋_GB2312"/>
          <w:sz w:val="28"/>
          <w:szCs w:val="28"/>
          <w:lang w:eastAsia="zh-CN"/>
        </w:rPr>
        <w:t>组建职教城，</w:t>
      </w:r>
      <w:r>
        <w:rPr>
          <w:rFonts w:hint="eastAsia" w:ascii="仿宋" w:hAnsi="仿宋" w:eastAsia="仿宋" w:cs="仿宋_GB2312"/>
          <w:sz w:val="28"/>
          <w:szCs w:val="28"/>
        </w:rPr>
        <w:t>每所县区集中力量办好1所中职学校，把师资、实训设备等教育资源向具有竞争优势的骨干职业学校集中，实现教育资源使用效益最大化，使整合之后的职业教育质量和效益整体提高。二是优化职业教育专业结构。在优化全市中职专业布局基础上，确定各中职学校专业发展重点。原则上保留已有的国家级、省级示范骨干专业，对不具备专业条件的坚决予以撤销。根据区域产业结构特征，扶持一批特色、骨干专业。加强对新设专业的审批管理，对重复开设的专业、在校生不足50人的专业、专业师资、实训设备不配套的专业，下一年度停止招生；有社会需求且具备二次转型条件的专业，过渡性保留；对有浓郁地域特色、有政策导向的“非遗”专业，应予以扶持。凡全市已有3所以上中职学校开设的专业，原则上不再新批准设置。</w:t>
      </w:r>
    </w:p>
    <w:p>
      <w:pPr>
        <w:pStyle w:val="4"/>
        <w:spacing w:before="0" w:after="0" w:line="360" w:lineRule="auto"/>
        <w:ind w:firstLine="560"/>
        <w:jc w:val="both"/>
        <w:rPr>
          <w:rFonts w:ascii="仿宋" w:hAnsi="仿宋" w:eastAsia="仿宋" w:cs="黑体"/>
          <w:bCs w:val="0"/>
          <w:sz w:val="28"/>
          <w:szCs w:val="28"/>
        </w:rPr>
      </w:pPr>
      <w:bookmarkStart w:id="50" w:name="_Toc66798334"/>
      <w:r>
        <w:rPr>
          <w:rFonts w:hint="eastAsia" w:ascii="仿宋" w:hAnsi="仿宋" w:eastAsia="仿宋" w:cs="黑体"/>
          <w:bCs w:val="0"/>
          <w:sz w:val="28"/>
          <w:szCs w:val="28"/>
        </w:rPr>
        <w:t>9</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2</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4加强职业学校的内涵、特色建设，使职业教育发展取得实质性突破</w:t>
      </w:r>
      <w:bookmarkEnd w:id="50"/>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一是狠抓职业学校内涵建设，提升职业学校的办学质量和吸引力，达到较理想的社会效益和经济效益。组织各中职学校就全市的产业情况和用人需求进行广泛调研，认真思考学校的发展定位，精心提炼学校的办学理念，确定各自学校内涵建设的具体目标。围绕具体目标，在校园文化引领、师资队伍建设、重点专业群打造、课程体系重构、教材内容改革、教学方法改进、管理手段强化和德育模式创新等方面寻求内涵建设驱动力和突破口，形成内涵建设思路，带动内涵建设逐步推进，使职业学校步入可持续发展的轨道。二是突出职业学校的特色优势建设，走“人无我有，人有我优，人优我特”之路，避开同质性竞争。特别是工科类学校要围绕“办学为工业兴市服务，育才为大同制造添砖”的宗旨，把坚守“工科特色”作为品牌打造的核心，把办学质量建立在“工科素质”的测评机制上。充分利用学校的教学资源与企业、行业紧密联系，围绕企业和用人单位需求，改革以学校和课堂为中心的人才培养模式，在企业建立学生实习和专业教师进修基地，加强学生的生产实习和社会实践，使每个学生都能学到一技之长，从而提升职业学校的吸引力。农业县职业学校要依托本区域的农业优势，围绕功能型农业开发具有地域特色的涉农专业，培养农业现代化和新农村建设的实用人才</w:t>
      </w:r>
      <w:r>
        <w:rPr>
          <w:rFonts w:hint="eastAsia" w:ascii="仿宋" w:hAnsi="仿宋" w:eastAsia="仿宋" w:cs="仿宋_GB2312"/>
          <w:sz w:val="28"/>
          <w:szCs w:val="28"/>
          <w:lang w:eastAsia="zh-CN"/>
        </w:rPr>
        <w:t>，</w:t>
      </w:r>
      <w:r>
        <w:rPr>
          <w:rFonts w:hint="eastAsia" w:ascii="仿宋" w:hAnsi="仿宋" w:eastAsia="仿宋" w:cs="仿宋_GB2312"/>
          <w:sz w:val="28"/>
          <w:szCs w:val="28"/>
        </w:rPr>
        <w:t>在形成特色和培育品牌中使学校不断发展。</w:t>
      </w:r>
    </w:p>
    <w:p>
      <w:pPr>
        <w:pStyle w:val="4"/>
        <w:spacing w:before="0" w:after="0" w:line="360" w:lineRule="auto"/>
        <w:ind w:firstLine="560"/>
        <w:jc w:val="both"/>
        <w:rPr>
          <w:rFonts w:ascii="仿宋" w:hAnsi="仿宋" w:eastAsia="仿宋" w:cs="黑体"/>
          <w:bCs w:val="0"/>
          <w:sz w:val="28"/>
          <w:szCs w:val="28"/>
        </w:rPr>
      </w:pPr>
      <w:bookmarkStart w:id="51" w:name="_Toc66798335"/>
      <w:r>
        <w:rPr>
          <w:rFonts w:hint="eastAsia" w:ascii="仿宋" w:hAnsi="仿宋" w:eastAsia="仿宋" w:cs="黑体"/>
          <w:bCs w:val="0"/>
          <w:sz w:val="28"/>
          <w:szCs w:val="28"/>
        </w:rPr>
        <w:t>9</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2</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5根据产业需求，加强教师队伍建设，提升教师的职业素养</w:t>
      </w:r>
      <w:bookmarkEnd w:id="51"/>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教师数量不足、职业素养不高是职业学校较为突出的问题之一，严重地影响了职业教育的发展，下一步要根据职业教育的特点和职业学校的办学规模，建立职业学校教师编制动态调整机制。在增加职业学校教师编制的同时，改革职业学校教师人事制度，以适应专业调整的需要。要空出教师编制的15%-20%由学校通过第三方社会机构聘用兼职教师，采取“养事不入编”的办法，在职业学校中试行“编制到校，经费包干，自主聘用，动态管理”的人事和经费管理模式，在长远上控制在职教师数量的增长速度，减轻财政负担，形成专业教师能进能出的流动机制，提高专业教师的比例；另外，遴选一批有行业代表性的企业，作为教师实践基地，积极探索与职业教育师资培养培训机构联合开展教师培养培训工作，通过校企合作、建立职业教育兼职教师人才库等方式，着力培养一批“双师型”教师；建立系统化的职业教育教师培养和进修制度，定期选派校长、专业带头人、骨干教师外出进修、培训，尽快打造出一支师德高尚、技能高超、业务精湛的高水平师资队伍。</w:t>
      </w:r>
    </w:p>
    <w:p>
      <w:pPr>
        <w:pStyle w:val="4"/>
        <w:spacing w:before="0" w:after="0" w:line="360" w:lineRule="auto"/>
        <w:ind w:firstLine="560"/>
        <w:jc w:val="both"/>
        <w:rPr>
          <w:rFonts w:ascii="仿宋" w:hAnsi="仿宋" w:eastAsia="仿宋" w:cs="黑体"/>
          <w:bCs w:val="0"/>
          <w:sz w:val="28"/>
          <w:szCs w:val="28"/>
        </w:rPr>
      </w:pPr>
      <w:bookmarkStart w:id="52" w:name="_Toc66798336"/>
      <w:r>
        <w:rPr>
          <w:rFonts w:hint="eastAsia" w:ascii="仿宋" w:hAnsi="仿宋" w:eastAsia="仿宋" w:cs="黑体"/>
          <w:bCs w:val="0"/>
          <w:sz w:val="28"/>
          <w:szCs w:val="28"/>
        </w:rPr>
        <w:t>9</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2</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6探索职高普高融通、中职高职应用型本科衔接的人才培养体系，满足经济社会发展对多层次人才的需求</w:t>
      </w:r>
      <w:bookmarkEnd w:id="52"/>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职业教育发展必须要创新人才培训模式，要以职高普高横向融通，中职高职纵向贯通为突破口，为学生搭建多样化选择和多路径成才纵横交错的“立交桥”，不断探索育人模式，更好地满足社会成员多样化的求学愿望。职普融通主要是鼓励中职学校与普通高中相互借鉴育人优势，促进学生在两类教育中自由流动，满足不同潜质学生的成长成才需求，从而推动普通教育与职业教育相互促进、协调发展。在此基础上，还要充分发挥山西通航职业技术学院</w:t>
      </w:r>
      <w:r>
        <w:rPr>
          <w:rFonts w:hint="eastAsia" w:ascii="仿宋" w:hAnsi="仿宋" w:eastAsia="仿宋" w:cs="仿宋_GB2312"/>
          <w:sz w:val="28"/>
          <w:szCs w:val="28"/>
          <w:lang w:eastAsia="zh-CN"/>
        </w:rPr>
        <w:t>、</w:t>
      </w:r>
      <w:r>
        <w:rPr>
          <w:rFonts w:hint="eastAsia" w:ascii="仿宋" w:hAnsi="仿宋" w:eastAsia="仿宋" w:cs="仿宋_GB2312"/>
          <w:sz w:val="28"/>
          <w:szCs w:val="28"/>
        </w:rPr>
        <w:t>大同煤炭职业技术学院</w:t>
      </w:r>
      <w:r>
        <w:rPr>
          <w:rFonts w:hint="eastAsia" w:ascii="仿宋" w:hAnsi="仿宋" w:eastAsia="仿宋" w:cs="仿宋_GB2312"/>
          <w:sz w:val="28"/>
          <w:szCs w:val="28"/>
          <w:lang w:eastAsia="zh-CN"/>
        </w:rPr>
        <w:t>和</w:t>
      </w:r>
      <w:r>
        <w:rPr>
          <w:rFonts w:hint="eastAsia" w:ascii="仿宋" w:hAnsi="仿宋" w:eastAsia="仿宋" w:cs="仿宋_GB2312"/>
          <w:sz w:val="28"/>
          <w:szCs w:val="28"/>
        </w:rPr>
        <w:t>大同师范高等专科学校</w:t>
      </w:r>
      <w:r>
        <w:rPr>
          <w:rFonts w:hint="eastAsia" w:ascii="仿宋" w:hAnsi="仿宋" w:eastAsia="仿宋" w:cs="仿宋_GB2312"/>
          <w:sz w:val="28"/>
          <w:szCs w:val="28"/>
          <w:lang w:eastAsia="zh-CN"/>
        </w:rPr>
        <w:t>三所高职</w:t>
      </w:r>
      <w:r>
        <w:rPr>
          <w:rFonts w:hint="eastAsia" w:ascii="仿宋" w:hAnsi="仿宋" w:eastAsia="仿宋" w:cs="仿宋_GB2312"/>
          <w:sz w:val="28"/>
          <w:szCs w:val="28"/>
        </w:rPr>
        <w:t>院校的龙头作用，对接产业发展，培育特色专业，积极稳妥推进中高职及应用型本科人才培养衔接，形成中高职优势互补、高职本科衔接贯通的培养体系，建设一批优质职教资源、树立一批职教品牌，满足经济社会发展对多层次人才的需求。</w:t>
      </w:r>
    </w:p>
    <w:p>
      <w:pPr>
        <w:pStyle w:val="4"/>
        <w:spacing w:before="0" w:after="0" w:line="360" w:lineRule="auto"/>
        <w:ind w:firstLine="560"/>
        <w:jc w:val="both"/>
        <w:rPr>
          <w:rFonts w:ascii="仿宋" w:hAnsi="仿宋" w:eastAsia="仿宋" w:cs="黑体"/>
          <w:bCs w:val="0"/>
          <w:sz w:val="28"/>
          <w:szCs w:val="28"/>
        </w:rPr>
      </w:pPr>
      <w:bookmarkStart w:id="53" w:name="_Toc66798337"/>
      <w:r>
        <w:rPr>
          <w:rFonts w:hint="eastAsia" w:ascii="仿宋" w:hAnsi="仿宋" w:eastAsia="仿宋" w:cs="黑体"/>
          <w:bCs w:val="0"/>
          <w:sz w:val="28"/>
          <w:szCs w:val="28"/>
        </w:rPr>
        <w:t>9</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2</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7着眼未来经济社会发展，加强对外交流合作，推动我市职业教育快速发展</w:t>
      </w:r>
      <w:bookmarkEnd w:id="53"/>
    </w:p>
    <w:p>
      <w:pPr>
        <w:spacing w:line="360" w:lineRule="auto"/>
        <w:ind w:firstLine="560"/>
        <w:jc w:val="both"/>
        <w:rPr>
          <w:rFonts w:ascii="仿宋" w:hAnsi="仿宋" w:eastAsia="仿宋" w:cs="仿宋_GB2312"/>
          <w:sz w:val="28"/>
          <w:szCs w:val="28"/>
        </w:rPr>
      </w:pPr>
      <w:r>
        <w:rPr>
          <w:rFonts w:hint="eastAsia" w:ascii="仿宋" w:hAnsi="仿宋" w:eastAsia="仿宋" w:cs="仿宋_GB2312"/>
          <w:sz w:val="28"/>
          <w:szCs w:val="28"/>
        </w:rPr>
        <w:t>我市已进入经济转型升级的关键期，职业教育要想适应经济发展要求，满足产业转型的需要，必须要转变发展思路，更新办学理念，采取“走出去，请进来”的方式加强对外交流合作。一是要在走出去学习国内职业教育发展好的地区办学经验的基础上，聘请职业教育专家，为大同市职业教育发展会诊把脉，进一步明确职业教育发展的方向。二是要加强与德国等先进制造业国家开展职业教育合作。引进德国高素质人才及职业教育理念，逐步开发和尝试性地实施符合大同特色的双元制职业教育，探索建立以职业需求为导向、以实践能力培养为重点、以产学结合为途径的培养模式，提升人才培养质量，带动我市职业教育步入发展的快车道。</w:t>
      </w:r>
    </w:p>
    <w:p>
      <w:pPr>
        <w:pStyle w:val="4"/>
        <w:spacing w:before="0" w:after="0" w:line="360" w:lineRule="auto"/>
        <w:ind w:firstLine="560"/>
        <w:jc w:val="both"/>
        <w:rPr>
          <w:rFonts w:ascii="仿宋" w:hAnsi="仿宋" w:eastAsia="仿宋" w:cs="黑体"/>
          <w:bCs w:val="0"/>
          <w:sz w:val="28"/>
          <w:szCs w:val="28"/>
        </w:rPr>
      </w:pPr>
      <w:bookmarkStart w:id="54" w:name="_Toc66798338"/>
      <w:r>
        <w:rPr>
          <w:rFonts w:hint="eastAsia" w:ascii="仿宋" w:hAnsi="仿宋" w:eastAsia="仿宋" w:cs="黑体"/>
          <w:bCs w:val="0"/>
          <w:sz w:val="28"/>
          <w:szCs w:val="28"/>
        </w:rPr>
        <w:t>9</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2</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8采取切实有效措施，加大扶持力度，引导支持社会力量兴办职业教育</w:t>
      </w:r>
      <w:bookmarkEnd w:id="54"/>
    </w:p>
    <w:p>
      <w:pPr>
        <w:spacing w:line="360" w:lineRule="auto"/>
        <w:ind w:firstLine="560"/>
        <w:jc w:val="both"/>
        <w:rPr>
          <w:rFonts w:ascii="仿宋" w:hAnsi="仿宋" w:eastAsia="仿宋" w:cs="仿宋_GB2312"/>
          <w:sz w:val="28"/>
          <w:szCs w:val="28"/>
          <w:lang w:val="uk-UA"/>
        </w:rPr>
      </w:pPr>
      <w:r>
        <w:rPr>
          <w:rFonts w:hint="eastAsia" w:ascii="仿宋" w:hAnsi="仿宋" w:eastAsia="仿宋" w:cs="仿宋_GB2312"/>
          <w:sz w:val="28"/>
          <w:szCs w:val="28"/>
        </w:rPr>
        <w:t>我市民办职业教育发展相对缓慢、规模总量偏小、发展不平衡，办学条件及教学质量都有待提高。“十三五”期间，我们要在“正确引导、依法管理”的方针下，构建多元化办学机制，创新民办职教办学模式，积极支持各类办学主体通过独资、合资、合作等多种形式举办民办职业教育。进一步扩大民办职业教育的办学规模，力争吸引社会力量出资兴办1-2所教育质量高、特色鲜明、社会信誉度高的民办职业学校，初步形成公办与民办职业教育优势互补、共同发展的格局。</w:t>
      </w:r>
    </w:p>
    <w:p>
      <w:pPr>
        <w:pStyle w:val="4"/>
        <w:spacing w:before="0" w:after="0" w:line="360" w:lineRule="auto"/>
        <w:ind w:firstLine="560"/>
        <w:jc w:val="both"/>
        <w:rPr>
          <w:rFonts w:ascii="仿宋" w:hAnsi="仿宋" w:eastAsia="仿宋" w:cs="黑体"/>
          <w:bCs w:val="0"/>
          <w:sz w:val="28"/>
          <w:szCs w:val="28"/>
        </w:rPr>
      </w:pPr>
      <w:bookmarkStart w:id="55" w:name="_Toc66798339"/>
      <w:r>
        <w:rPr>
          <w:rFonts w:hint="eastAsia" w:ascii="仿宋" w:hAnsi="仿宋" w:eastAsia="仿宋" w:cs="黑体"/>
          <w:bCs w:val="0"/>
          <w:sz w:val="28"/>
          <w:szCs w:val="28"/>
        </w:rPr>
        <w:t>9</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2</w:t>
      </w:r>
      <w:r>
        <w:rPr>
          <w:rFonts w:hint="eastAsia" w:ascii="仿宋" w:hAnsi="仿宋" w:eastAsia="仿宋" w:cs="黑体"/>
          <w:bCs w:val="0"/>
          <w:sz w:val="28"/>
          <w:szCs w:val="28"/>
          <w:lang w:eastAsia="zh-CN"/>
        </w:rPr>
        <w:t>.</w:t>
      </w:r>
      <w:r>
        <w:rPr>
          <w:rFonts w:hint="eastAsia" w:ascii="仿宋" w:hAnsi="仿宋" w:eastAsia="仿宋" w:cs="黑体"/>
          <w:bCs w:val="0"/>
          <w:sz w:val="28"/>
          <w:szCs w:val="28"/>
        </w:rPr>
        <w:t>9完善经费保障政策，确保职业教育的投入与职业教育的发展要求相适应</w:t>
      </w:r>
      <w:bookmarkEnd w:id="55"/>
    </w:p>
    <w:p>
      <w:pPr>
        <w:spacing w:line="360" w:lineRule="auto"/>
        <w:ind w:firstLine="560"/>
        <w:jc w:val="both"/>
        <w:rPr>
          <w:rFonts w:eastAsia="仿宋" w:cs="仿宋_GB2312" w:asciiTheme="minorHAnsi" w:hAnsiTheme="minorHAnsi"/>
          <w:sz w:val="28"/>
          <w:szCs w:val="28"/>
          <w:lang w:val="uk-UA"/>
        </w:rPr>
      </w:pPr>
      <w:r>
        <w:rPr>
          <w:rFonts w:hint="eastAsia" w:ascii="仿宋" w:hAnsi="仿宋" w:eastAsia="仿宋" w:cs="仿宋_GB2312"/>
          <w:sz w:val="28"/>
          <w:szCs w:val="28"/>
        </w:rPr>
        <w:t>建立以政府投入为主体，行业、企业和社会资金多元投入机制。一是加大职业教育投入，落实地方教育附加费用于职业教育的比例不低于30%政策。二是制定促进校企合作的财政、金融、税收等激励政策，提高行业、企业参与投资职业教育的积极性。三是改革职业培训收支政策，使公办职业学校举办的非学历培训取得的收入归学校所有，从而激发职业学校通过培训创收改善办学条件的主动性。四是制定职业教育人才引进及国际交流培训专项资金支持政策，确保对外合作项目的有效实施。</w:t>
      </w:r>
    </w:p>
    <w:p>
      <w:pPr>
        <w:spacing w:line="360" w:lineRule="auto"/>
        <w:jc w:val="right"/>
        <w:rPr>
          <w:rFonts w:ascii="仿宋" w:hAnsi="仿宋" w:eastAsia="仿宋" w:cs="仿宋_GB2312"/>
          <w:sz w:val="28"/>
          <w:szCs w:val="28"/>
        </w:rPr>
      </w:pPr>
      <w:r>
        <w:rPr>
          <w:rFonts w:ascii="仿宋" w:hAnsi="仿宋" w:eastAsia="仿宋"/>
          <w:sz w:val="28"/>
          <w:szCs w:val="28"/>
          <w:lang w:val="uk-UA"/>
        </w:rPr>
        <w:t>大同市教育局</w:t>
      </w:r>
    </w:p>
    <w:p>
      <w:pPr>
        <w:pStyle w:val="2"/>
        <w:spacing w:line="360" w:lineRule="auto"/>
        <w:ind w:left="0" w:leftChars="0" w:firstLine="0" w:firstLineChars="0"/>
        <w:jc w:val="right"/>
        <w:rPr>
          <w:rFonts w:ascii="仿宋" w:hAnsi="仿宋" w:eastAsia="仿宋"/>
          <w:sz w:val="28"/>
          <w:szCs w:val="28"/>
          <w:lang w:eastAsia="zh-CN"/>
        </w:rPr>
      </w:pPr>
      <w:r>
        <w:rPr>
          <w:rFonts w:hint="eastAsia" w:ascii="仿宋" w:hAnsi="仿宋" w:eastAsia="仿宋"/>
          <w:sz w:val="28"/>
          <w:szCs w:val="28"/>
          <w:lang w:val="uk-UA" w:eastAsia="zh-CN"/>
        </w:rPr>
        <w:t>2</w:t>
      </w:r>
      <w:r>
        <w:rPr>
          <w:rFonts w:ascii="仿宋" w:hAnsi="仿宋" w:eastAsia="仿宋"/>
          <w:sz w:val="28"/>
          <w:szCs w:val="28"/>
          <w:lang w:val="uk-UA" w:eastAsia="zh-CN"/>
        </w:rPr>
        <w:t>02</w:t>
      </w:r>
      <w:r>
        <w:rPr>
          <w:rFonts w:hint="eastAsia" w:ascii="仿宋" w:hAnsi="仿宋" w:eastAsia="仿宋"/>
          <w:sz w:val="28"/>
          <w:szCs w:val="28"/>
          <w:lang w:eastAsia="zh-CN"/>
        </w:rPr>
        <w:t>1</w:t>
      </w:r>
      <w:r>
        <w:rPr>
          <w:rFonts w:ascii="仿宋" w:hAnsi="仿宋" w:eastAsia="仿宋"/>
          <w:sz w:val="28"/>
          <w:szCs w:val="28"/>
          <w:lang w:val="uk-UA" w:eastAsia="zh-CN"/>
        </w:rPr>
        <w:t>年</w:t>
      </w:r>
      <w:r>
        <w:rPr>
          <w:rFonts w:hint="eastAsia" w:ascii="仿宋" w:hAnsi="仿宋" w:eastAsia="仿宋"/>
          <w:sz w:val="28"/>
          <w:szCs w:val="28"/>
          <w:lang w:eastAsia="zh-CN"/>
        </w:rPr>
        <w:t>2</w:t>
      </w:r>
      <w:r>
        <w:rPr>
          <w:rFonts w:ascii="仿宋" w:hAnsi="仿宋" w:eastAsia="仿宋"/>
          <w:sz w:val="28"/>
          <w:szCs w:val="28"/>
          <w:lang w:val="uk-UA" w:eastAsia="zh-CN"/>
        </w:rPr>
        <w:t>月</w:t>
      </w:r>
      <w:r>
        <w:rPr>
          <w:rFonts w:hint="eastAsia" w:ascii="仿宋" w:hAnsi="仿宋" w:eastAsia="仿宋"/>
          <w:sz w:val="28"/>
          <w:szCs w:val="28"/>
          <w:lang w:eastAsia="zh-CN"/>
        </w:rPr>
        <w:t>1日</w:t>
      </w:r>
    </w:p>
    <w:p>
      <w:pPr>
        <w:pStyle w:val="2"/>
        <w:spacing w:line="360" w:lineRule="auto"/>
        <w:ind w:left="480" w:firstLine="480"/>
        <w:jc w:val="right"/>
        <w:rPr>
          <w:rFonts w:ascii="仿宋" w:hAnsi="仿宋" w:eastAsia="仿宋"/>
          <w:lang w:val="uk-UA"/>
        </w:rPr>
      </w:pPr>
    </w:p>
    <w:sectPr>
      <w:headerReference r:id="rId5" w:type="first"/>
      <w:footerReference r:id="rId8" w:type="first"/>
      <w:headerReference r:id="rId3" w:type="default"/>
      <w:footerReference r:id="rId6" w:type="default"/>
      <w:headerReference r:id="rId4" w:type="even"/>
      <w:footerReference r:id="rId7" w:type="even"/>
      <w:pgSz w:w="11900" w:h="16840"/>
      <w:pgMar w:top="1440" w:right="1797" w:bottom="1440" w:left="1797"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幼圆">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Segoe UI Emoji">
    <w:altName w:val="Segoe UI"/>
    <w:panose1 w:val="020B0502040204020203"/>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jc w:val="center"/>
    </w:pPr>
    <w:r>
      <w:fldChar w:fldCharType="begin"/>
    </w:r>
    <w:r>
      <w:instrText xml:space="preserve">PAGE "page number"</w:instrText>
    </w:r>
    <w:r>
      <w:fldChar w:fldCharType="separate"/>
    </w:r>
    <w:r>
      <w:t>17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dit="trackedChanges" w:enforcement="0"/>
  <w:defaultTabStop w:val="720"/>
  <w:noPunctuationKerning w:val="1"/>
  <w:characterSpacingControl w:val="doNotCompress"/>
  <w:compat>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649"/>
    <w:rsid w:val="00027EC5"/>
    <w:rsid w:val="00067635"/>
    <w:rsid w:val="000B10A1"/>
    <w:rsid w:val="000B2B2F"/>
    <w:rsid w:val="000E5124"/>
    <w:rsid w:val="000F406B"/>
    <w:rsid w:val="0010780B"/>
    <w:rsid w:val="0017413C"/>
    <w:rsid w:val="00174D6B"/>
    <w:rsid w:val="00176E61"/>
    <w:rsid w:val="00184DD5"/>
    <w:rsid w:val="001A438E"/>
    <w:rsid w:val="001B3E03"/>
    <w:rsid w:val="0022235F"/>
    <w:rsid w:val="00237D19"/>
    <w:rsid w:val="00241B3F"/>
    <w:rsid w:val="0025502F"/>
    <w:rsid w:val="00270358"/>
    <w:rsid w:val="00274578"/>
    <w:rsid w:val="002E2485"/>
    <w:rsid w:val="002E71DD"/>
    <w:rsid w:val="0030619F"/>
    <w:rsid w:val="003315FD"/>
    <w:rsid w:val="00345E9C"/>
    <w:rsid w:val="00351620"/>
    <w:rsid w:val="003765EF"/>
    <w:rsid w:val="00390272"/>
    <w:rsid w:val="003A09DC"/>
    <w:rsid w:val="003D3A54"/>
    <w:rsid w:val="003E48FB"/>
    <w:rsid w:val="00437281"/>
    <w:rsid w:val="0044410E"/>
    <w:rsid w:val="004565EF"/>
    <w:rsid w:val="0049285E"/>
    <w:rsid w:val="004959C8"/>
    <w:rsid w:val="004B4ECC"/>
    <w:rsid w:val="004E5FCE"/>
    <w:rsid w:val="0054542B"/>
    <w:rsid w:val="00556AE4"/>
    <w:rsid w:val="0055723E"/>
    <w:rsid w:val="00585649"/>
    <w:rsid w:val="005A1473"/>
    <w:rsid w:val="005A26D8"/>
    <w:rsid w:val="005C5519"/>
    <w:rsid w:val="005E0792"/>
    <w:rsid w:val="005E37A3"/>
    <w:rsid w:val="00601DFF"/>
    <w:rsid w:val="00603C3C"/>
    <w:rsid w:val="00630CCE"/>
    <w:rsid w:val="00640430"/>
    <w:rsid w:val="00642F77"/>
    <w:rsid w:val="00663861"/>
    <w:rsid w:val="00664F51"/>
    <w:rsid w:val="0068326E"/>
    <w:rsid w:val="006B7C4D"/>
    <w:rsid w:val="00752060"/>
    <w:rsid w:val="00752621"/>
    <w:rsid w:val="00772143"/>
    <w:rsid w:val="007E4D77"/>
    <w:rsid w:val="0081072E"/>
    <w:rsid w:val="0081333D"/>
    <w:rsid w:val="00823064"/>
    <w:rsid w:val="00833F6B"/>
    <w:rsid w:val="00851843"/>
    <w:rsid w:val="00860071"/>
    <w:rsid w:val="00863197"/>
    <w:rsid w:val="00886DEF"/>
    <w:rsid w:val="008A1F5E"/>
    <w:rsid w:val="00912D46"/>
    <w:rsid w:val="00977CF1"/>
    <w:rsid w:val="00983EC9"/>
    <w:rsid w:val="009971C7"/>
    <w:rsid w:val="009A060F"/>
    <w:rsid w:val="009C6C11"/>
    <w:rsid w:val="009D757C"/>
    <w:rsid w:val="009E31F4"/>
    <w:rsid w:val="00A03377"/>
    <w:rsid w:val="00A32EFC"/>
    <w:rsid w:val="00A6700A"/>
    <w:rsid w:val="00A80956"/>
    <w:rsid w:val="00AA26E4"/>
    <w:rsid w:val="00AC4266"/>
    <w:rsid w:val="00AD54E8"/>
    <w:rsid w:val="00AE5AF6"/>
    <w:rsid w:val="00B6218A"/>
    <w:rsid w:val="00BC20EF"/>
    <w:rsid w:val="00BE4B5E"/>
    <w:rsid w:val="00C01814"/>
    <w:rsid w:val="00C45973"/>
    <w:rsid w:val="00C976B1"/>
    <w:rsid w:val="00CA73BF"/>
    <w:rsid w:val="00CC5709"/>
    <w:rsid w:val="00CD3B3C"/>
    <w:rsid w:val="00D87424"/>
    <w:rsid w:val="00D90AAE"/>
    <w:rsid w:val="00DF0D96"/>
    <w:rsid w:val="00E25EAD"/>
    <w:rsid w:val="00E33309"/>
    <w:rsid w:val="00E935D7"/>
    <w:rsid w:val="00EB4CAB"/>
    <w:rsid w:val="00EE63B7"/>
    <w:rsid w:val="00FB2B38"/>
    <w:rsid w:val="00FC0F7A"/>
    <w:rsid w:val="00FD46B4"/>
    <w:rsid w:val="021C2ED4"/>
    <w:rsid w:val="03892EC3"/>
    <w:rsid w:val="09B254BF"/>
    <w:rsid w:val="1B3108CB"/>
    <w:rsid w:val="1D4F7317"/>
    <w:rsid w:val="1ECB68C7"/>
    <w:rsid w:val="22242D3F"/>
    <w:rsid w:val="271A4E80"/>
    <w:rsid w:val="2D1A134A"/>
    <w:rsid w:val="2D9B1962"/>
    <w:rsid w:val="34971160"/>
    <w:rsid w:val="4940758E"/>
    <w:rsid w:val="4BB67EEC"/>
    <w:rsid w:val="4D465E4F"/>
    <w:rsid w:val="523A5314"/>
    <w:rsid w:val="5E8B340D"/>
    <w:rsid w:val="61A14E13"/>
    <w:rsid w:val="621D7C1A"/>
    <w:rsid w:val="64294BC2"/>
    <w:rsid w:val="64FF1286"/>
    <w:rsid w:val="69F2570B"/>
    <w:rsid w:val="70784430"/>
    <w:rsid w:val="72007005"/>
    <w:rsid w:val="76F26E52"/>
    <w:rsid w:val="781939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heme="minorBidi"/>
      <w:sz w:val="24"/>
      <w:szCs w:val="24"/>
      <w:lang w:val="en-US" w:eastAsia="uk-UA" w:bidi="ar-SA"/>
    </w:rPr>
  </w:style>
  <w:style w:type="paragraph" w:styleId="4">
    <w:name w:val="heading 1"/>
    <w:basedOn w:val="1"/>
    <w:next w:val="1"/>
    <w:qFormat/>
    <w:uiPriority w:val="0"/>
    <w:pPr>
      <w:keepNext/>
      <w:spacing w:before="240" w:after="60"/>
      <w:outlineLvl w:val="0"/>
    </w:pPr>
    <w:rPr>
      <w:rFonts w:ascii="Arial" w:hAnsi="Arial" w:cs="Arial"/>
      <w:b/>
      <w:bCs/>
      <w:kern w:val="32"/>
      <w:sz w:val="32"/>
      <w:szCs w:val="32"/>
    </w:rPr>
  </w:style>
  <w:style w:type="paragraph" w:styleId="5">
    <w:name w:val="heading 2"/>
    <w:basedOn w:val="1"/>
    <w:next w:val="1"/>
    <w:link w:val="7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79"/>
    <w:unhideWhenUsed/>
    <w:qFormat/>
    <w:uiPriority w:val="9"/>
    <w:pPr>
      <w:keepNext/>
      <w:keepLines/>
      <w:spacing w:before="260" w:after="260" w:line="416" w:lineRule="auto"/>
      <w:outlineLvl w:val="2"/>
    </w:pPr>
    <w:rPr>
      <w:b/>
      <w:bCs/>
      <w:sz w:val="32"/>
      <w:szCs w:val="32"/>
    </w:rPr>
  </w:style>
  <w:style w:type="paragraph" w:styleId="7">
    <w:name w:val="heading 4"/>
    <w:basedOn w:val="1"/>
    <w:next w:val="1"/>
    <w:link w:val="8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link w:val="82"/>
    <w:qFormat/>
    <w:uiPriority w:val="0"/>
    <w:pPr>
      <w:ind w:firstLine="420" w:firstLineChars="200"/>
    </w:pPr>
  </w:style>
  <w:style w:type="paragraph" w:styleId="3">
    <w:name w:val="Body Text Indent"/>
    <w:basedOn w:val="1"/>
    <w:qFormat/>
    <w:uiPriority w:val="0"/>
    <w:pPr>
      <w:ind w:left="420" w:leftChars="200"/>
    </w:pPr>
  </w:style>
  <w:style w:type="paragraph" w:styleId="8">
    <w:name w:val="footer"/>
    <w:basedOn w:val="1"/>
    <w:unhideWhenUsed/>
    <w:qFormat/>
    <w:uiPriority w:val="99"/>
    <w:pPr>
      <w:widowControl w:val="0"/>
      <w:tabs>
        <w:tab w:val="center" w:pos="4153"/>
        <w:tab w:val="right" w:pos="8306"/>
      </w:tabs>
      <w:snapToGrid w:val="0"/>
    </w:pPr>
    <w:rPr>
      <w:rFonts w:asciiTheme="minorHAnsi" w:hAnsiTheme="minorHAnsi" w:eastAsiaTheme="minorEastAsia"/>
      <w:kern w:val="2"/>
      <w:sz w:val="18"/>
      <w:szCs w:val="18"/>
      <w:lang w:eastAsia="zh-CN"/>
    </w:rPr>
  </w:style>
  <w:style w:type="paragraph" w:styleId="9">
    <w:name w:val="header"/>
    <w:basedOn w:val="1"/>
    <w:link w:val="65"/>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style>
  <w:style w:type="paragraph" w:styleId="11">
    <w:name w:val="Normal (Web)"/>
    <w:basedOn w:val="1"/>
    <w:unhideWhenUsed/>
    <w:qFormat/>
    <w:uiPriority w:val="99"/>
    <w:pPr>
      <w:spacing w:before="100" w:beforeAutospacing="1" w:after="100" w:afterAutospacing="1"/>
    </w:pPr>
    <w:rPr>
      <w:rFonts w:ascii="宋体" w:hAnsi="宋体" w:eastAsia="宋体" w:cs="宋体"/>
    </w:rPr>
  </w:style>
  <w:style w:type="paragraph" w:styleId="12">
    <w:name w:val="Title"/>
    <w:basedOn w:val="1"/>
    <w:next w:val="1"/>
    <w:link w:val="80"/>
    <w:qFormat/>
    <w:uiPriority w:val="10"/>
    <w:pPr>
      <w:spacing w:before="240" w:after="60"/>
      <w:jc w:val="center"/>
      <w:outlineLvl w:val="0"/>
    </w:pPr>
    <w:rPr>
      <w:rFonts w:asciiTheme="majorHAnsi" w:hAnsiTheme="majorHAnsi" w:eastAsiaTheme="majorEastAsia" w:cstheme="majorBidi"/>
      <w:b/>
      <w:bCs/>
      <w:sz w:val="32"/>
      <w:szCs w:val="32"/>
    </w:rPr>
  </w:style>
  <w:style w:type="table" w:styleId="14">
    <w:name w:val="Table Grid"/>
    <w:basedOn w:val="1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Strong"/>
    <w:basedOn w:val="15"/>
    <w:qFormat/>
    <w:uiPriority w:val="22"/>
    <w:rPr>
      <w:b/>
    </w:rPr>
  </w:style>
  <w:style w:type="character" w:styleId="17">
    <w:name w:val="FollowedHyperlink"/>
    <w:basedOn w:val="15"/>
    <w:semiHidden/>
    <w:unhideWhenUsed/>
    <w:qFormat/>
    <w:uiPriority w:val="99"/>
    <w:rPr>
      <w:color w:val="454545"/>
      <w:u w:val="none"/>
    </w:rPr>
  </w:style>
  <w:style w:type="character" w:styleId="18">
    <w:name w:val="Emphasis"/>
    <w:basedOn w:val="15"/>
    <w:qFormat/>
    <w:uiPriority w:val="20"/>
    <w:rPr>
      <w:i/>
    </w:rPr>
  </w:style>
  <w:style w:type="character" w:styleId="19">
    <w:name w:val="Hyperlink"/>
    <w:basedOn w:val="15"/>
    <w:unhideWhenUsed/>
    <w:qFormat/>
    <w:uiPriority w:val="99"/>
    <w:rPr>
      <w:color w:val="0000FF" w:themeColor="hyperlink"/>
      <w:u w:val="single"/>
      <w14:textFill>
        <w14:solidFill>
          <w14:schemeClr w14:val="hlink"/>
        </w14:solidFill>
      </w14:textFill>
    </w:rPr>
  </w:style>
  <w:style w:type="character" w:styleId="20">
    <w:name w:val="HTML Code"/>
    <w:basedOn w:val="15"/>
    <w:semiHidden/>
    <w:unhideWhenUsed/>
    <w:qFormat/>
    <w:uiPriority w:val="99"/>
    <w:rPr>
      <w:rFonts w:ascii="Courier New" w:hAnsi="Courier New"/>
      <w:sz w:val="25"/>
      <w:szCs w:val="25"/>
    </w:rPr>
  </w:style>
  <w:style w:type="paragraph" w:customStyle="1" w:styleId="21">
    <w:name w:val="Default"/>
    <w:qFormat/>
    <w:uiPriority w:val="0"/>
    <w:pPr>
      <w:widowControl w:val="0"/>
      <w:autoSpaceDE w:val="0"/>
      <w:autoSpaceDN w:val="0"/>
      <w:adjustRightInd w:val="0"/>
    </w:pPr>
    <w:rPr>
      <w:rFonts w:ascii="幼圆" w:hAnsi="Times New Roman" w:eastAsia="幼圆" w:cs="幼圆"/>
      <w:color w:val="000000"/>
      <w:sz w:val="24"/>
      <w:szCs w:val="24"/>
      <w:lang w:val="en-US" w:eastAsia="zh-CN" w:bidi="ar-SA"/>
    </w:rPr>
  </w:style>
  <w:style w:type="paragraph" w:customStyle="1" w:styleId="22">
    <w:name w:val="dateStyle"/>
    <w:basedOn w:val="1"/>
    <w:qFormat/>
    <w:uiPriority w:val="0"/>
    <w:rPr>
      <w:rFonts w:ascii="黑体" w:hAnsi="黑体" w:eastAsia="黑体" w:cs="黑体"/>
      <w:b/>
      <w:sz w:val="68"/>
    </w:rPr>
  </w:style>
  <w:style w:type="paragraph" w:customStyle="1" w:styleId="23">
    <w:name w:val="titleStyle"/>
    <w:basedOn w:val="1"/>
    <w:qFormat/>
    <w:uiPriority w:val="0"/>
    <w:rPr>
      <w:rFonts w:ascii="黑体" w:hAnsi="黑体" w:eastAsia="黑体" w:cs="黑体"/>
      <w:b/>
      <w:sz w:val="68"/>
    </w:rPr>
  </w:style>
  <w:style w:type="paragraph" w:customStyle="1" w:styleId="24">
    <w:name w:val="shoolStyle"/>
    <w:basedOn w:val="1"/>
    <w:qFormat/>
    <w:uiPriority w:val="0"/>
    <w:rPr>
      <w:rFonts w:ascii="黑体" w:hAnsi="黑体" w:eastAsia="黑体" w:cs="黑体"/>
      <w:b/>
      <w:sz w:val="28"/>
    </w:rPr>
  </w:style>
  <w:style w:type="paragraph" w:customStyle="1" w:styleId="25">
    <w:name w:val="catalogStyle"/>
    <w:basedOn w:val="1"/>
    <w:qFormat/>
    <w:uiPriority w:val="0"/>
    <w:rPr>
      <w:rFonts w:ascii="黑体" w:hAnsi="黑体" w:eastAsia="黑体" w:cs="黑体"/>
      <w:b/>
      <w:sz w:val="36"/>
    </w:rPr>
  </w:style>
  <w:style w:type="paragraph" w:customStyle="1" w:styleId="26">
    <w:name w:val="tocStyle1"/>
    <w:basedOn w:val="1"/>
    <w:qFormat/>
    <w:uiPriority w:val="0"/>
    <w:rPr>
      <w:rFonts w:ascii="宋体" w:hAnsi="宋体" w:eastAsia="宋体" w:cs="宋体"/>
      <w:sz w:val="28"/>
    </w:rPr>
  </w:style>
  <w:style w:type="paragraph" w:customStyle="1" w:styleId="27">
    <w:name w:val="tocStyle2"/>
    <w:basedOn w:val="1"/>
    <w:qFormat/>
    <w:uiPriority w:val="0"/>
    <w:rPr>
      <w:rFonts w:ascii="宋体" w:hAnsi="宋体" w:eastAsia="宋体" w:cs="宋体"/>
      <w:sz w:val="28"/>
    </w:rPr>
  </w:style>
  <w:style w:type="paragraph" w:customStyle="1" w:styleId="28">
    <w:name w:val="tocStyle3"/>
    <w:basedOn w:val="1"/>
    <w:qFormat/>
    <w:uiPriority w:val="0"/>
    <w:rPr>
      <w:rFonts w:ascii="宋体" w:hAnsi="宋体" w:eastAsia="宋体" w:cs="宋体"/>
      <w:sz w:val="28"/>
    </w:rPr>
  </w:style>
  <w:style w:type="paragraph" w:customStyle="1" w:styleId="29">
    <w:name w:val="tocStyle4"/>
    <w:basedOn w:val="1"/>
    <w:qFormat/>
    <w:uiPriority w:val="0"/>
    <w:rPr>
      <w:rFonts w:ascii="宋体" w:hAnsi="宋体" w:eastAsia="宋体" w:cs="宋体"/>
      <w:sz w:val="28"/>
    </w:rPr>
  </w:style>
  <w:style w:type="paragraph" w:customStyle="1" w:styleId="30">
    <w:name w:val="tocStyle5"/>
    <w:basedOn w:val="1"/>
    <w:qFormat/>
    <w:uiPriority w:val="0"/>
    <w:rPr>
      <w:rFonts w:ascii="宋体" w:hAnsi="宋体" w:eastAsia="宋体" w:cs="宋体"/>
      <w:sz w:val="28"/>
    </w:rPr>
  </w:style>
  <w:style w:type="paragraph" w:customStyle="1" w:styleId="31">
    <w:name w:val="tocStyle6"/>
    <w:basedOn w:val="1"/>
    <w:qFormat/>
    <w:uiPriority w:val="0"/>
    <w:rPr>
      <w:rFonts w:ascii="宋体" w:hAnsi="宋体" w:eastAsia="宋体" w:cs="宋体"/>
      <w:sz w:val="28"/>
    </w:rPr>
  </w:style>
  <w:style w:type="paragraph" w:customStyle="1" w:styleId="32">
    <w:name w:val="tocStyle7"/>
    <w:basedOn w:val="1"/>
    <w:qFormat/>
    <w:uiPriority w:val="0"/>
    <w:rPr>
      <w:rFonts w:ascii="宋体" w:hAnsi="宋体" w:eastAsia="宋体" w:cs="宋体"/>
      <w:sz w:val="28"/>
    </w:rPr>
  </w:style>
  <w:style w:type="paragraph" w:customStyle="1" w:styleId="33">
    <w:name w:val="tocStyle8"/>
    <w:basedOn w:val="1"/>
    <w:qFormat/>
    <w:uiPriority w:val="0"/>
    <w:rPr>
      <w:rFonts w:ascii="宋体" w:hAnsi="宋体" w:eastAsia="宋体" w:cs="宋体"/>
      <w:sz w:val="28"/>
    </w:rPr>
  </w:style>
  <w:style w:type="paragraph" w:customStyle="1" w:styleId="34">
    <w:name w:val="tocStyle9"/>
    <w:basedOn w:val="1"/>
    <w:qFormat/>
    <w:uiPriority w:val="0"/>
    <w:rPr>
      <w:rFonts w:ascii="宋体" w:hAnsi="宋体" w:eastAsia="宋体" w:cs="宋体"/>
      <w:sz w:val="28"/>
    </w:rPr>
  </w:style>
  <w:style w:type="paragraph" w:customStyle="1" w:styleId="35">
    <w:name w:val="tocStyle10"/>
    <w:basedOn w:val="1"/>
    <w:qFormat/>
    <w:uiPriority w:val="0"/>
    <w:rPr>
      <w:rFonts w:ascii="宋体" w:hAnsi="宋体" w:eastAsia="宋体" w:cs="宋体"/>
      <w:sz w:val="28"/>
    </w:rPr>
  </w:style>
  <w:style w:type="paragraph" w:customStyle="1" w:styleId="36">
    <w:name w:val="tocStyle11"/>
    <w:basedOn w:val="1"/>
    <w:qFormat/>
    <w:uiPriority w:val="0"/>
    <w:rPr>
      <w:rFonts w:ascii="宋体" w:hAnsi="宋体" w:eastAsia="宋体" w:cs="宋体"/>
      <w:sz w:val="28"/>
    </w:rPr>
  </w:style>
  <w:style w:type="paragraph" w:customStyle="1" w:styleId="37">
    <w:name w:val="tocStyle12"/>
    <w:basedOn w:val="1"/>
    <w:qFormat/>
    <w:uiPriority w:val="0"/>
    <w:rPr>
      <w:rFonts w:ascii="宋体" w:hAnsi="宋体" w:eastAsia="宋体" w:cs="宋体"/>
      <w:sz w:val="28"/>
    </w:rPr>
  </w:style>
  <w:style w:type="paragraph" w:customStyle="1" w:styleId="38">
    <w:name w:val="tocStyle13"/>
    <w:basedOn w:val="1"/>
    <w:qFormat/>
    <w:uiPriority w:val="0"/>
    <w:rPr>
      <w:rFonts w:ascii="宋体" w:hAnsi="宋体" w:eastAsia="宋体" w:cs="宋体"/>
      <w:sz w:val="28"/>
    </w:rPr>
  </w:style>
  <w:style w:type="paragraph" w:customStyle="1" w:styleId="39">
    <w:name w:val="tocStyle14"/>
    <w:basedOn w:val="1"/>
    <w:qFormat/>
    <w:uiPriority w:val="0"/>
    <w:rPr>
      <w:rFonts w:ascii="宋体" w:hAnsi="宋体" w:eastAsia="宋体" w:cs="宋体"/>
      <w:sz w:val="28"/>
    </w:rPr>
  </w:style>
  <w:style w:type="paragraph" w:customStyle="1" w:styleId="40">
    <w:name w:val="tocStyle15"/>
    <w:basedOn w:val="1"/>
    <w:qFormat/>
    <w:uiPriority w:val="0"/>
    <w:rPr>
      <w:rFonts w:ascii="宋体" w:hAnsi="宋体" w:eastAsia="宋体" w:cs="宋体"/>
      <w:sz w:val="28"/>
    </w:rPr>
  </w:style>
  <w:style w:type="paragraph" w:customStyle="1" w:styleId="41">
    <w:name w:val="tocStyle16"/>
    <w:basedOn w:val="1"/>
    <w:qFormat/>
    <w:uiPriority w:val="0"/>
    <w:rPr>
      <w:rFonts w:ascii="宋体" w:hAnsi="宋体" w:eastAsia="宋体" w:cs="宋体"/>
      <w:sz w:val="28"/>
    </w:rPr>
  </w:style>
  <w:style w:type="paragraph" w:customStyle="1" w:styleId="42">
    <w:name w:val="tocStyle17"/>
    <w:basedOn w:val="1"/>
    <w:qFormat/>
    <w:uiPriority w:val="0"/>
    <w:rPr>
      <w:rFonts w:ascii="宋体" w:hAnsi="宋体" w:eastAsia="宋体" w:cs="宋体"/>
      <w:sz w:val="28"/>
    </w:rPr>
  </w:style>
  <w:style w:type="paragraph" w:customStyle="1" w:styleId="43">
    <w:name w:val="tocStyle18"/>
    <w:basedOn w:val="1"/>
    <w:qFormat/>
    <w:uiPriority w:val="0"/>
    <w:rPr>
      <w:rFonts w:ascii="宋体" w:hAnsi="宋体" w:eastAsia="宋体" w:cs="宋体"/>
      <w:sz w:val="28"/>
    </w:rPr>
  </w:style>
  <w:style w:type="paragraph" w:customStyle="1" w:styleId="44">
    <w:name w:val="tocStyle19"/>
    <w:basedOn w:val="1"/>
    <w:qFormat/>
    <w:uiPriority w:val="0"/>
    <w:rPr>
      <w:rFonts w:ascii="宋体" w:hAnsi="宋体" w:eastAsia="宋体" w:cs="宋体"/>
      <w:sz w:val="28"/>
    </w:rPr>
  </w:style>
  <w:style w:type="paragraph" w:customStyle="1" w:styleId="45">
    <w:name w:val="tocStyle20"/>
    <w:basedOn w:val="1"/>
    <w:qFormat/>
    <w:uiPriority w:val="0"/>
    <w:rPr>
      <w:rFonts w:ascii="宋体" w:hAnsi="宋体" w:eastAsia="宋体" w:cs="宋体"/>
      <w:sz w:val="28"/>
    </w:rPr>
  </w:style>
  <w:style w:type="paragraph" w:customStyle="1" w:styleId="46">
    <w:name w:val="tocStyle21"/>
    <w:basedOn w:val="1"/>
    <w:qFormat/>
    <w:uiPriority w:val="0"/>
    <w:rPr>
      <w:rFonts w:ascii="宋体" w:hAnsi="宋体" w:eastAsia="宋体" w:cs="宋体"/>
      <w:sz w:val="28"/>
    </w:rPr>
  </w:style>
  <w:style w:type="paragraph" w:customStyle="1" w:styleId="47">
    <w:name w:val="tocStyle22"/>
    <w:basedOn w:val="1"/>
    <w:qFormat/>
    <w:uiPriority w:val="0"/>
    <w:rPr>
      <w:rFonts w:ascii="宋体" w:hAnsi="宋体" w:eastAsia="宋体" w:cs="宋体"/>
      <w:sz w:val="28"/>
    </w:rPr>
  </w:style>
  <w:style w:type="paragraph" w:customStyle="1" w:styleId="48">
    <w:name w:val="tocStyle23"/>
    <w:basedOn w:val="1"/>
    <w:qFormat/>
    <w:uiPriority w:val="0"/>
    <w:rPr>
      <w:rFonts w:ascii="宋体" w:hAnsi="宋体" w:eastAsia="宋体" w:cs="宋体"/>
      <w:sz w:val="28"/>
    </w:rPr>
  </w:style>
  <w:style w:type="paragraph" w:customStyle="1" w:styleId="49">
    <w:name w:val="tocStyle24"/>
    <w:basedOn w:val="1"/>
    <w:qFormat/>
    <w:uiPriority w:val="0"/>
    <w:rPr>
      <w:rFonts w:ascii="宋体" w:hAnsi="宋体" w:eastAsia="宋体" w:cs="宋体"/>
      <w:sz w:val="28"/>
    </w:rPr>
  </w:style>
  <w:style w:type="paragraph" w:customStyle="1" w:styleId="50">
    <w:name w:val="tocStyle25"/>
    <w:basedOn w:val="1"/>
    <w:qFormat/>
    <w:uiPriority w:val="0"/>
    <w:rPr>
      <w:rFonts w:ascii="宋体" w:hAnsi="宋体" w:eastAsia="宋体" w:cs="宋体"/>
      <w:sz w:val="28"/>
    </w:rPr>
  </w:style>
  <w:style w:type="paragraph" w:customStyle="1" w:styleId="51">
    <w:name w:val="tocStyle26"/>
    <w:basedOn w:val="1"/>
    <w:qFormat/>
    <w:uiPriority w:val="0"/>
    <w:rPr>
      <w:rFonts w:ascii="宋体" w:hAnsi="宋体" w:eastAsia="宋体" w:cs="宋体"/>
      <w:sz w:val="28"/>
    </w:rPr>
  </w:style>
  <w:style w:type="paragraph" w:customStyle="1" w:styleId="52">
    <w:name w:val="tocStyle27"/>
    <w:basedOn w:val="1"/>
    <w:qFormat/>
    <w:uiPriority w:val="0"/>
    <w:rPr>
      <w:rFonts w:ascii="宋体" w:hAnsi="宋体" w:eastAsia="宋体" w:cs="宋体"/>
      <w:sz w:val="28"/>
    </w:rPr>
  </w:style>
  <w:style w:type="paragraph" w:customStyle="1" w:styleId="53">
    <w:name w:val="tocStyle28"/>
    <w:basedOn w:val="1"/>
    <w:qFormat/>
    <w:uiPriority w:val="0"/>
    <w:rPr>
      <w:rFonts w:ascii="宋体" w:hAnsi="宋体" w:eastAsia="宋体" w:cs="宋体"/>
      <w:sz w:val="28"/>
    </w:rPr>
  </w:style>
  <w:style w:type="paragraph" w:customStyle="1" w:styleId="54">
    <w:name w:val="tocStyle29"/>
    <w:basedOn w:val="1"/>
    <w:qFormat/>
    <w:uiPriority w:val="0"/>
    <w:rPr>
      <w:rFonts w:ascii="宋体" w:hAnsi="宋体" w:eastAsia="宋体" w:cs="宋体"/>
      <w:sz w:val="28"/>
    </w:rPr>
  </w:style>
  <w:style w:type="paragraph" w:customStyle="1" w:styleId="55">
    <w:name w:val="tocStyle30"/>
    <w:basedOn w:val="1"/>
    <w:qFormat/>
    <w:uiPriority w:val="0"/>
    <w:rPr>
      <w:rFonts w:ascii="宋体" w:hAnsi="宋体" w:eastAsia="宋体" w:cs="宋体"/>
      <w:sz w:val="28"/>
    </w:rPr>
  </w:style>
  <w:style w:type="paragraph" w:customStyle="1" w:styleId="56">
    <w:name w:val="tocStyle31"/>
    <w:basedOn w:val="1"/>
    <w:qFormat/>
    <w:uiPriority w:val="0"/>
    <w:rPr>
      <w:rFonts w:ascii="宋体" w:hAnsi="宋体" w:eastAsia="宋体" w:cs="宋体"/>
      <w:sz w:val="28"/>
    </w:rPr>
  </w:style>
  <w:style w:type="paragraph" w:customStyle="1" w:styleId="57">
    <w:name w:val="tocStyle32"/>
    <w:basedOn w:val="1"/>
    <w:qFormat/>
    <w:uiPriority w:val="0"/>
    <w:rPr>
      <w:rFonts w:ascii="宋体" w:hAnsi="宋体" w:eastAsia="宋体" w:cs="宋体"/>
      <w:sz w:val="28"/>
    </w:rPr>
  </w:style>
  <w:style w:type="paragraph" w:customStyle="1" w:styleId="58">
    <w:name w:val="tocStyle33"/>
    <w:basedOn w:val="1"/>
    <w:qFormat/>
    <w:uiPriority w:val="0"/>
    <w:rPr>
      <w:rFonts w:ascii="宋体" w:hAnsi="宋体" w:eastAsia="宋体" w:cs="宋体"/>
      <w:sz w:val="28"/>
    </w:rPr>
  </w:style>
  <w:style w:type="paragraph" w:customStyle="1" w:styleId="59">
    <w:name w:val="tocStyle34"/>
    <w:basedOn w:val="1"/>
    <w:qFormat/>
    <w:uiPriority w:val="0"/>
    <w:rPr>
      <w:rFonts w:ascii="宋体" w:hAnsi="宋体" w:eastAsia="宋体" w:cs="宋体"/>
      <w:sz w:val="28"/>
    </w:rPr>
  </w:style>
  <w:style w:type="paragraph" w:customStyle="1" w:styleId="60">
    <w:name w:val="tocStyle35"/>
    <w:basedOn w:val="1"/>
    <w:qFormat/>
    <w:uiPriority w:val="0"/>
    <w:rPr>
      <w:rFonts w:ascii="宋体" w:hAnsi="宋体" w:eastAsia="宋体" w:cs="宋体"/>
      <w:sz w:val="28"/>
    </w:rPr>
  </w:style>
  <w:style w:type="paragraph" w:customStyle="1" w:styleId="61">
    <w:name w:val="tocStyle36"/>
    <w:basedOn w:val="1"/>
    <w:qFormat/>
    <w:uiPriority w:val="0"/>
    <w:rPr>
      <w:rFonts w:ascii="宋体" w:hAnsi="宋体" w:eastAsia="宋体" w:cs="宋体"/>
      <w:sz w:val="28"/>
    </w:rPr>
  </w:style>
  <w:style w:type="paragraph" w:customStyle="1" w:styleId="62">
    <w:name w:val="tocStyle37"/>
    <w:basedOn w:val="1"/>
    <w:qFormat/>
    <w:uiPriority w:val="0"/>
    <w:rPr>
      <w:rFonts w:ascii="宋体" w:hAnsi="宋体" w:eastAsia="宋体" w:cs="宋体"/>
      <w:sz w:val="28"/>
    </w:rPr>
  </w:style>
  <w:style w:type="paragraph" w:customStyle="1" w:styleId="63">
    <w:name w:val="tocStyle38"/>
    <w:basedOn w:val="1"/>
    <w:qFormat/>
    <w:uiPriority w:val="0"/>
    <w:rPr>
      <w:rFonts w:ascii="宋体" w:hAnsi="宋体" w:eastAsia="宋体" w:cs="宋体"/>
      <w:sz w:val="28"/>
    </w:rPr>
  </w:style>
  <w:style w:type="paragraph" w:styleId="64">
    <w:name w:val="List Paragraph"/>
    <w:basedOn w:val="1"/>
    <w:qFormat/>
    <w:uiPriority w:val="34"/>
    <w:pPr>
      <w:ind w:firstLine="420" w:firstLineChars="200"/>
    </w:pPr>
  </w:style>
  <w:style w:type="character" w:customStyle="1" w:styleId="65">
    <w:name w:val="页眉 字符"/>
    <w:basedOn w:val="15"/>
    <w:link w:val="9"/>
    <w:qFormat/>
    <w:uiPriority w:val="99"/>
    <w:rPr>
      <w:rFonts w:ascii="Times New Roman" w:hAnsi="Times New Roman" w:eastAsia="Times New Roman"/>
      <w:sz w:val="18"/>
      <w:szCs w:val="18"/>
      <w:lang w:eastAsia="uk-UA"/>
    </w:rPr>
  </w:style>
  <w:style w:type="paragraph" w:customStyle="1" w:styleId="66">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67">
    <w:name w:val="query-t-icon"/>
    <w:basedOn w:val="15"/>
    <w:qFormat/>
    <w:uiPriority w:val="0"/>
  </w:style>
  <w:style w:type="character" w:customStyle="1" w:styleId="68">
    <w:name w:val="ui-icon62"/>
    <w:basedOn w:val="15"/>
    <w:qFormat/>
    <w:uiPriority w:val="0"/>
  </w:style>
  <w:style w:type="character" w:customStyle="1" w:styleId="69">
    <w:name w:val="ui-icon63"/>
    <w:basedOn w:val="15"/>
    <w:uiPriority w:val="0"/>
  </w:style>
  <w:style w:type="character" w:customStyle="1" w:styleId="70">
    <w:name w:val="ui-icon64"/>
    <w:basedOn w:val="15"/>
    <w:qFormat/>
    <w:uiPriority w:val="0"/>
  </w:style>
  <w:style w:type="character" w:customStyle="1" w:styleId="71">
    <w:name w:val="selectopespan"/>
    <w:basedOn w:val="15"/>
    <w:qFormat/>
    <w:uiPriority w:val="0"/>
  </w:style>
  <w:style w:type="character" w:customStyle="1" w:styleId="72">
    <w:name w:val="ui-icon-close"/>
    <w:basedOn w:val="15"/>
    <w:qFormat/>
    <w:uiPriority w:val="0"/>
  </w:style>
  <w:style w:type="character" w:customStyle="1" w:styleId="73">
    <w:name w:val="data-t-icon"/>
    <w:basedOn w:val="15"/>
    <w:qFormat/>
    <w:uiPriority w:val="0"/>
  </w:style>
  <w:style w:type="character" w:customStyle="1" w:styleId="74">
    <w:name w:val="q-icon"/>
    <w:basedOn w:val="15"/>
    <w:qFormat/>
    <w:uiPriority w:val="0"/>
  </w:style>
  <w:style w:type="character" w:customStyle="1" w:styleId="75">
    <w:name w:val="button"/>
    <w:basedOn w:val="15"/>
    <w:qFormat/>
    <w:uiPriority w:val="0"/>
  </w:style>
  <w:style w:type="character" w:customStyle="1" w:styleId="76">
    <w:name w:val="t-span"/>
    <w:basedOn w:val="15"/>
    <w:qFormat/>
    <w:uiPriority w:val="0"/>
  </w:style>
  <w:style w:type="character" w:customStyle="1" w:styleId="77">
    <w:name w:val="Unresolved Mention"/>
    <w:basedOn w:val="15"/>
    <w:semiHidden/>
    <w:unhideWhenUsed/>
    <w:uiPriority w:val="99"/>
    <w:rPr>
      <w:color w:val="605E5C"/>
      <w:shd w:val="clear" w:color="auto" w:fill="E1DFDD"/>
    </w:rPr>
  </w:style>
  <w:style w:type="character" w:customStyle="1" w:styleId="78">
    <w:name w:val="标题 2 字符"/>
    <w:basedOn w:val="15"/>
    <w:link w:val="5"/>
    <w:uiPriority w:val="9"/>
    <w:rPr>
      <w:rFonts w:asciiTheme="majorHAnsi" w:hAnsiTheme="majorHAnsi" w:eastAsiaTheme="majorEastAsia" w:cstheme="majorBidi"/>
      <w:b/>
      <w:bCs/>
      <w:sz w:val="32"/>
      <w:szCs w:val="32"/>
      <w:lang w:eastAsia="uk-UA"/>
    </w:rPr>
  </w:style>
  <w:style w:type="character" w:customStyle="1" w:styleId="79">
    <w:name w:val="标题 3 字符"/>
    <w:basedOn w:val="15"/>
    <w:link w:val="6"/>
    <w:uiPriority w:val="9"/>
    <w:rPr>
      <w:rFonts w:ascii="Times New Roman" w:hAnsi="Times New Roman" w:eastAsia="Times New Roman" w:cstheme="minorBidi"/>
      <w:b/>
      <w:bCs/>
      <w:sz w:val="32"/>
      <w:szCs w:val="32"/>
      <w:lang w:eastAsia="uk-UA"/>
    </w:rPr>
  </w:style>
  <w:style w:type="character" w:customStyle="1" w:styleId="80">
    <w:name w:val="标题 字符"/>
    <w:basedOn w:val="15"/>
    <w:link w:val="12"/>
    <w:uiPriority w:val="10"/>
    <w:rPr>
      <w:rFonts w:asciiTheme="majorHAnsi" w:hAnsiTheme="majorHAnsi" w:eastAsiaTheme="majorEastAsia" w:cstheme="majorBidi"/>
      <w:b/>
      <w:bCs/>
      <w:sz w:val="32"/>
      <w:szCs w:val="32"/>
      <w:lang w:eastAsia="uk-UA"/>
    </w:rPr>
  </w:style>
  <w:style w:type="character" w:customStyle="1" w:styleId="81">
    <w:name w:val="标题 4 字符"/>
    <w:basedOn w:val="15"/>
    <w:link w:val="7"/>
    <w:uiPriority w:val="9"/>
    <w:rPr>
      <w:rFonts w:asciiTheme="majorHAnsi" w:hAnsiTheme="majorHAnsi" w:eastAsiaTheme="majorEastAsia" w:cstheme="majorBidi"/>
      <w:b/>
      <w:bCs/>
      <w:sz w:val="28"/>
      <w:szCs w:val="28"/>
      <w:lang w:eastAsia="uk-UA"/>
    </w:rPr>
  </w:style>
  <w:style w:type="character" w:customStyle="1" w:styleId="82">
    <w:name w:val="正文文本首行缩进 2 字符"/>
    <w:basedOn w:val="15"/>
    <w:link w:val="2"/>
    <w:uiPriority w:val="0"/>
    <w:rPr>
      <w:rFonts w:ascii="Times New Roman" w:hAnsi="Times New Roman" w:eastAsia="Times New Roman" w:cstheme="minorBidi"/>
      <w:sz w:val="24"/>
      <w:szCs w:val="24"/>
      <w:lang w:eastAsia="uk-U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0" Type="http://schemas.openxmlformats.org/officeDocument/2006/relationships/fontTable" Target="fontTable.xml"/><Relationship Id="rId8" Type="http://schemas.openxmlformats.org/officeDocument/2006/relationships/footer" Target="footer3.xml"/><Relationship Id="rId79" Type="http://schemas.openxmlformats.org/officeDocument/2006/relationships/customXml" Target="../customXml/item2.xml"/><Relationship Id="rId78" Type="http://schemas.openxmlformats.org/officeDocument/2006/relationships/customXml" Target="../customXml/item1.xml"/><Relationship Id="rId77" Type="http://schemas.openxmlformats.org/officeDocument/2006/relationships/image" Target="media/image58.jpeg"/><Relationship Id="rId76" Type="http://schemas.openxmlformats.org/officeDocument/2006/relationships/image" Target="media/image57.jpeg"/><Relationship Id="rId75" Type="http://schemas.openxmlformats.org/officeDocument/2006/relationships/image" Target="media/image56.jpeg"/><Relationship Id="rId74" Type="http://schemas.openxmlformats.org/officeDocument/2006/relationships/image" Target="media/image55.jpeg"/><Relationship Id="rId73" Type="http://schemas.openxmlformats.org/officeDocument/2006/relationships/image" Target="media/image54.jpeg"/><Relationship Id="rId72" Type="http://schemas.openxmlformats.org/officeDocument/2006/relationships/image" Target="media/image53.jpeg"/><Relationship Id="rId71" Type="http://schemas.openxmlformats.org/officeDocument/2006/relationships/image" Target="media/image52.jpeg"/><Relationship Id="rId70" Type="http://schemas.openxmlformats.org/officeDocument/2006/relationships/image" Target="media/image51.jpeg"/><Relationship Id="rId7" Type="http://schemas.openxmlformats.org/officeDocument/2006/relationships/footer" Target="footer2.xml"/><Relationship Id="rId69" Type="http://schemas.openxmlformats.org/officeDocument/2006/relationships/image" Target="media/image50.jpeg"/><Relationship Id="rId68" Type="http://schemas.openxmlformats.org/officeDocument/2006/relationships/image" Target="media/image49.jpeg"/><Relationship Id="rId67" Type="http://schemas.openxmlformats.org/officeDocument/2006/relationships/image" Target="media/image48.jpeg"/><Relationship Id="rId66" Type="http://schemas.openxmlformats.org/officeDocument/2006/relationships/image" Target="media/image47.jpeg"/><Relationship Id="rId65" Type="http://schemas.openxmlformats.org/officeDocument/2006/relationships/image" Target="media/image46.jpeg"/><Relationship Id="rId64" Type="http://schemas.openxmlformats.org/officeDocument/2006/relationships/image" Target="media/image45.jpeg"/><Relationship Id="rId63" Type="http://schemas.openxmlformats.org/officeDocument/2006/relationships/image" Target="media/image44.jpeg"/><Relationship Id="rId62" Type="http://schemas.openxmlformats.org/officeDocument/2006/relationships/image" Target="media/image43.jpeg"/><Relationship Id="rId61" Type="http://schemas.openxmlformats.org/officeDocument/2006/relationships/image" Target="media/image42.jpeg"/><Relationship Id="rId60" Type="http://schemas.openxmlformats.org/officeDocument/2006/relationships/image" Target="media/image41.png"/><Relationship Id="rId6" Type="http://schemas.openxmlformats.org/officeDocument/2006/relationships/footer" Target="footer1.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jpeg"/><Relationship Id="rId55" Type="http://schemas.openxmlformats.org/officeDocument/2006/relationships/image" Target="media/image36.jpeg"/><Relationship Id="rId54" Type="http://schemas.openxmlformats.org/officeDocument/2006/relationships/image" Target="media/image35.png"/><Relationship Id="rId53" Type="http://schemas.openxmlformats.org/officeDocument/2006/relationships/image" Target="media/image34.jpe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header" Target="header3.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jpeg"/><Relationship Id="rId45" Type="http://schemas.openxmlformats.org/officeDocument/2006/relationships/image" Target="media/image26.jpeg"/><Relationship Id="rId44" Type="http://schemas.openxmlformats.org/officeDocument/2006/relationships/image" Target="media/image25.jpeg"/><Relationship Id="rId43" Type="http://schemas.openxmlformats.org/officeDocument/2006/relationships/image" Target="media/image24.jpeg"/><Relationship Id="rId42" Type="http://schemas.openxmlformats.org/officeDocument/2006/relationships/image" Target="media/image23.jpeg"/><Relationship Id="rId41" Type="http://schemas.openxmlformats.org/officeDocument/2006/relationships/image" Target="media/image22.jpeg"/><Relationship Id="rId40" Type="http://schemas.openxmlformats.org/officeDocument/2006/relationships/image" Target="media/image21.png"/><Relationship Id="rId4" Type="http://schemas.openxmlformats.org/officeDocument/2006/relationships/header" Target="header2.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jpeg"/><Relationship Id="rId36" Type="http://schemas.openxmlformats.org/officeDocument/2006/relationships/image" Target="media/image17.pn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chart" Target="charts/chart10.xml"/><Relationship Id="rId32" Type="http://schemas.openxmlformats.org/officeDocument/2006/relationships/chart" Target="charts/chart9.xml"/><Relationship Id="rId31" Type="http://schemas.openxmlformats.org/officeDocument/2006/relationships/chart" Target="charts/chart8.xml"/><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NULL"/><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chart" Target="charts/chart7.xml"/><Relationship Id="rId21" Type="http://schemas.openxmlformats.org/officeDocument/2006/relationships/chart" Target="charts/chart6.xml"/><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10.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7.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10.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9.xlsx"/></Relationships>
</file>

<file path=word/charts/_rels/chart9.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r>
              <a:rPr lang="en-US"/>
              <a:t>2018-2020</a:t>
            </a:r>
            <a:r>
              <a:rPr lang="zh-CN"/>
              <a:t>年大同市中等职业学校办学规模数据分析  </a:t>
            </a:r>
            <a:endParaRPr lang="zh-CN"/>
          </a:p>
        </c:rich>
      </c:tx>
      <c:layout>
        <c:manualLayout>
          <c:xMode val="edge"/>
          <c:yMode val="edge"/>
          <c:x val="0.12423348947184"/>
          <c:y val="0.032183908045977"/>
        </c:manualLayout>
      </c:layout>
      <c:overlay val="0"/>
      <c:spPr>
        <a:noFill/>
        <a:ln>
          <a:noFill/>
        </a:ln>
        <a:effectLst/>
      </c:spPr>
    </c:title>
    <c:autoTitleDeleted val="0"/>
    <c:plotArea>
      <c:layout/>
      <c:lineChart>
        <c:grouping val="standard"/>
        <c:varyColors val="0"/>
        <c:ser>
          <c:idx val="0"/>
          <c:order val="0"/>
          <c:tx>
            <c:strRef>
              <c:f>Sheet1!$A$2</c:f>
              <c:strCache>
                <c:ptCount val="1"/>
                <c:pt idx="0">
                  <c:v>2018年</c:v>
                </c:pt>
              </c:strCache>
            </c:strRef>
          </c:tx>
          <c:spPr>
            <a:ln w="31750" cap="rnd">
              <a:solidFill>
                <a:schemeClr val="accent1"/>
              </a:solidFill>
              <a:round/>
            </a:ln>
            <a:effectLst/>
          </c:spPr>
          <c:marker>
            <c:symbol val="circle"/>
            <c:size val="17"/>
            <c:spPr>
              <a:solidFill>
                <a:schemeClr val="accent1"/>
              </a:solidFill>
              <a:ln>
                <a:noFill/>
              </a:ln>
              <a:effectLst/>
            </c:spPr>
          </c:marker>
          <c:dLbls>
            <c:dLbl>
              <c:idx val="1"/>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extLst>
                <c:ext xmlns:c15="http://schemas.microsoft.com/office/drawing/2012/chart" uri="{CE6537A1-D6FC-4f65-9D91-7224C49458BB}"/>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Sheet1!$B$1:$F$1</c:f>
              <c:strCache>
                <c:ptCount val="5"/>
                <c:pt idx="0">
                  <c:v>学校数（所）</c:v>
                </c:pt>
                <c:pt idx="1">
                  <c:v>在校生数（人）</c:v>
                </c:pt>
                <c:pt idx="2">
                  <c:v>招生数（人）</c:v>
                </c:pt>
                <c:pt idx="3">
                  <c:v>普职招生比</c:v>
                </c:pt>
                <c:pt idx="4">
                  <c:v>毕业生数</c:v>
                </c:pt>
              </c:strCache>
            </c:strRef>
          </c:cat>
          <c:val>
            <c:numRef>
              <c:f>Sheet1!$B$2:$F$2</c:f>
              <c:numCache>
                <c:formatCode>General</c:formatCode>
                <c:ptCount val="5"/>
                <c:pt idx="0">
                  <c:v>34</c:v>
                </c:pt>
                <c:pt idx="1">
                  <c:v>26853</c:v>
                </c:pt>
                <c:pt idx="2">
                  <c:v>8251</c:v>
                </c:pt>
                <c:pt idx="3">
                  <c:v>0</c:v>
                </c:pt>
                <c:pt idx="4">
                  <c:v>8986</c:v>
                </c:pt>
              </c:numCache>
            </c:numRef>
          </c:val>
          <c:smooth val="0"/>
        </c:ser>
        <c:ser>
          <c:idx val="1"/>
          <c:order val="1"/>
          <c:tx>
            <c:strRef>
              <c:f>Sheet1!$A$3</c:f>
              <c:strCache>
                <c:ptCount val="1"/>
                <c:pt idx="0">
                  <c:v>2019年</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Sheet1!$B$1:$F$1</c:f>
              <c:strCache>
                <c:ptCount val="5"/>
                <c:pt idx="0">
                  <c:v>学校数（所）</c:v>
                </c:pt>
                <c:pt idx="1">
                  <c:v>在校生数（人）</c:v>
                </c:pt>
                <c:pt idx="2">
                  <c:v>招生数（人）</c:v>
                </c:pt>
                <c:pt idx="3">
                  <c:v>普职招生比</c:v>
                </c:pt>
                <c:pt idx="4">
                  <c:v>毕业生数</c:v>
                </c:pt>
              </c:strCache>
            </c:strRef>
          </c:cat>
          <c:val>
            <c:numRef>
              <c:f>Sheet1!$B$3:$F$3</c:f>
              <c:numCache>
                <c:formatCode>General</c:formatCode>
                <c:ptCount val="5"/>
                <c:pt idx="0">
                  <c:v>34</c:v>
                </c:pt>
                <c:pt idx="1">
                  <c:v>25820</c:v>
                </c:pt>
                <c:pt idx="2">
                  <c:v>7598</c:v>
                </c:pt>
                <c:pt idx="3" c:formatCode="h:mm">
                  <c:v>0.29375</c:v>
                </c:pt>
                <c:pt idx="4">
                  <c:v>8631</c:v>
                </c:pt>
              </c:numCache>
            </c:numRef>
          </c:val>
          <c:smooth val="0"/>
        </c:ser>
        <c:ser>
          <c:idx val="2"/>
          <c:order val="2"/>
          <c:tx>
            <c:strRef>
              <c:f>Sheet1!$A$4</c:f>
              <c:strCache>
                <c:ptCount val="1"/>
                <c:pt idx="0">
                  <c:v>2020年</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Sheet1!$B$1:$F$1</c:f>
              <c:strCache>
                <c:ptCount val="5"/>
                <c:pt idx="0">
                  <c:v>学校数（所）</c:v>
                </c:pt>
                <c:pt idx="1">
                  <c:v>在校生数（人）</c:v>
                </c:pt>
                <c:pt idx="2">
                  <c:v>招生数（人）</c:v>
                </c:pt>
                <c:pt idx="3">
                  <c:v>普职招生比</c:v>
                </c:pt>
                <c:pt idx="4">
                  <c:v>毕业生数</c:v>
                </c:pt>
              </c:strCache>
            </c:strRef>
          </c:cat>
          <c:val>
            <c:numRef>
              <c:f>Sheet1!$B$4:$F$4</c:f>
              <c:numCache>
                <c:formatCode>General</c:formatCode>
                <c:ptCount val="5"/>
                <c:pt idx="0">
                  <c:v>34</c:v>
                </c:pt>
                <c:pt idx="1">
                  <c:v>22863</c:v>
                </c:pt>
                <c:pt idx="2">
                  <c:v>9165</c:v>
                </c:pt>
                <c:pt idx="3">
                  <c:v>0</c:v>
                </c:pt>
                <c:pt idx="4">
                  <c:v>7163</c:v>
                </c:pt>
              </c:numCache>
            </c:numRef>
          </c:val>
          <c:smooth val="0"/>
        </c:ser>
        <c:dLbls>
          <c:showLegendKey val="0"/>
          <c:showVal val="1"/>
          <c:showCatName val="0"/>
          <c:showSerName val="0"/>
          <c:showPercent val="0"/>
          <c:showBubbleSize val="0"/>
        </c:dLbls>
        <c:marker val="1"/>
        <c:smooth val="0"/>
        <c:axId val="512486960"/>
        <c:axId val="512490488"/>
      </c:lineChart>
      <c:catAx>
        <c:axId val="5124869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512490488"/>
        <c:crosses val="autoZero"/>
        <c:auto val="1"/>
        <c:lblAlgn val="ctr"/>
        <c:lblOffset val="100"/>
        <c:noMultiLvlLbl val="0"/>
      </c:catAx>
      <c:valAx>
        <c:axId val="5124904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5124869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500" b="1" i="0" u="none" strike="noStrike" kern="1200" cap="all" spc="100" normalizeH="0" baseline="0">
                <a:solidFill>
                  <a:schemeClr val="lt1"/>
                </a:solidFill>
                <a:latin typeface="+mn-lt"/>
                <a:ea typeface="+mn-ea"/>
                <a:cs typeface="+mn-cs"/>
              </a:defRPr>
            </a:pPr>
            <a:r>
              <a:rPr lang="en-US" sz="1200"/>
              <a:t>2020</a:t>
            </a:r>
            <a:r>
              <a:rPr lang="zh-CN" sz="1200"/>
              <a:t>年大同市中等职业学校学生就业产业分布</a:t>
            </a:r>
            <a:endParaRPr lang="en-US" sz="1200"/>
          </a:p>
        </c:rich>
      </c:tx>
      <c:layout/>
      <c:overlay val="0"/>
      <c:spPr>
        <a:noFill/>
        <a:ln>
          <a:noFill/>
        </a:ln>
        <a:effectLst/>
      </c:spPr>
    </c:title>
    <c:autoTitleDeleted val="0"/>
    <c:plotArea>
      <c:layout>
        <c:manualLayout>
          <c:layoutTarget val="inner"/>
          <c:xMode val="edge"/>
          <c:yMode val="edge"/>
          <c:x val="0.155136482939633"/>
          <c:y val="0.149074074074074"/>
          <c:w val="0.784439851268591"/>
          <c:h val="0.715748760571595"/>
        </c:manualLayout>
      </c:layout>
      <c:barChart>
        <c:barDir val="bar"/>
        <c:grouping val="clustered"/>
        <c:varyColors val="0"/>
        <c:ser>
          <c:idx val="0"/>
          <c:order val="0"/>
          <c:spPr>
            <a:pattFill prst="ltUpDiag">
              <a:fgClr>
                <a:schemeClr val="accent1"/>
              </a:fgClr>
              <a:bgClr>
                <a:schemeClr val="lt1"/>
              </a:bgClr>
            </a:pattFill>
            <a:ln>
              <a:noFill/>
            </a:ln>
            <a:effectLst/>
          </c:spPr>
          <c:invertIfNegative val="0"/>
          <c:dLbls>
            <c:delete val="1"/>
          </c:dLbls>
          <c:cat>
            <c:strRef>
              <c:f>Sheet7!$B$1:$D$1</c:f>
              <c:strCache>
                <c:ptCount val="3"/>
                <c:pt idx="0">
                  <c:v>第一产业</c:v>
                </c:pt>
                <c:pt idx="1">
                  <c:v>第二产业</c:v>
                </c:pt>
                <c:pt idx="2">
                  <c:v>第三产业</c:v>
                </c:pt>
              </c:strCache>
            </c:strRef>
          </c:cat>
          <c:val>
            <c:numRef>
              <c:f>Sheet7!$B$2:$D$2</c:f>
              <c:numCache>
                <c:formatCode>0.00%</c:formatCode>
                <c:ptCount val="3"/>
                <c:pt idx="0">
                  <c:v>0.01</c:v>
                </c:pt>
                <c:pt idx="1">
                  <c:v>0.1075</c:v>
                </c:pt>
                <c:pt idx="2">
                  <c:v>0.8839</c:v>
                </c:pt>
              </c:numCache>
            </c:numRef>
          </c:val>
        </c:ser>
        <c:dLbls>
          <c:showLegendKey val="0"/>
          <c:showVal val="0"/>
          <c:showCatName val="0"/>
          <c:showSerName val="0"/>
          <c:showPercent val="0"/>
          <c:showBubbleSize val="0"/>
        </c:dLbls>
        <c:gapWidth val="269"/>
        <c:overlap val="-20"/>
        <c:axId val="1957640672"/>
        <c:axId val="1957644000"/>
      </c:barChart>
      <c:catAx>
        <c:axId val="1957640672"/>
        <c:scaling>
          <c:orientation val="minMax"/>
        </c:scaling>
        <c:delete val="0"/>
        <c:axPos val="l"/>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lang="zh-CN" sz="800" b="0" i="0" u="none" strike="noStrike" kern="1200" cap="all" spc="150" normalizeH="0" baseline="0">
                <a:solidFill>
                  <a:schemeClr val="lt1"/>
                </a:solidFill>
                <a:latin typeface="+mn-lt"/>
                <a:ea typeface="+mn-ea"/>
                <a:cs typeface="+mn-cs"/>
              </a:defRPr>
            </a:pPr>
          </a:p>
        </c:txPr>
        <c:crossAx val="1957644000"/>
        <c:crosses val="autoZero"/>
        <c:auto val="1"/>
        <c:lblAlgn val="ctr"/>
        <c:lblOffset val="100"/>
        <c:noMultiLvlLbl val="0"/>
      </c:catAx>
      <c:valAx>
        <c:axId val="1957644000"/>
        <c:scaling>
          <c:orientation val="minMax"/>
        </c:scaling>
        <c:delete val="0"/>
        <c:axPos val="b"/>
        <c:majorGridlines>
          <c:spPr>
            <a:ln w="9525" cap="flat" cmpd="sng" algn="ctr">
              <a:solidFill>
                <a:schemeClr val="lt1">
                  <a:alpha val="2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lt1"/>
                </a:solidFill>
                <a:latin typeface="+mn-lt"/>
                <a:ea typeface="+mn-ea"/>
                <a:cs typeface="+mn-cs"/>
              </a:defRPr>
            </a:pPr>
          </a:p>
        </c:txPr>
        <c:crossAx val="1957640672"/>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500" b="1" i="0" u="none" strike="noStrike" kern="1200" cap="all" spc="100" normalizeH="0" baseline="0">
              <a:solidFill>
                <a:schemeClr val="lt1"/>
              </a:solidFill>
              <a:latin typeface="+mn-lt"/>
              <a:ea typeface="+mn-ea"/>
              <a:cs typeface="+mn-cs"/>
            </a:defRPr>
          </a:pPr>
        </a:p>
      </c:txPr>
    </c:title>
    <c:autoTitleDeleted val="0"/>
    <c:plotArea>
      <c:layout/>
      <c:lineChart>
        <c:grouping val="standard"/>
        <c:varyColors val="0"/>
        <c:ser>
          <c:idx val="0"/>
          <c:order val="0"/>
          <c:tx>
            <c:strRef>
              <c:f>Sheet2!$B$1</c:f>
              <c:strCache>
                <c:ptCount val="1"/>
                <c:pt idx="0">
                  <c:v>生均教学仪器设备值（元）</c:v>
                </c:pt>
              </c:strCache>
            </c:strRef>
          </c:tx>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accent1">
                          <a:lumMod val="60000"/>
                          <a:lumOff val="40000"/>
                        </a:schemeClr>
                      </a:solidFill>
                    </a:ln>
                    <a:effectLst/>
                  </c:spPr>
                </c15:leaderLines>
              </c:ext>
            </c:extLst>
          </c:dLbls>
          <c:cat>
            <c:strRef>
              <c:f>Sheet2!$A$2:$A$4</c:f>
              <c:strCache>
                <c:ptCount val="3"/>
                <c:pt idx="0">
                  <c:v>2018年</c:v>
                </c:pt>
                <c:pt idx="1">
                  <c:v>2019年</c:v>
                </c:pt>
                <c:pt idx="2">
                  <c:v>2020年</c:v>
                </c:pt>
              </c:strCache>
            </c:strRef>
          </c:cat>
          <c:val>
            <c:numRef>
              <c:f>Sheet2!$B$2:$B$4</c:f>
              <c:numCache>
                <c:formatCode>General</c:formatCode>
                <c:ptCount val="3"/>
                <c:pt idx="0">
                  <c:v>20852</c:v>
                </c:pt>
                <c:pt idx="1">
                  <c:v>21225</c:v>
                </c:pt>
                <c:pt idx="2">
                  <c:v>23288</c:v>
                </c:pt>
              </c:numCache>
            </c:numRef>
          </c:val>
          <c:smooth val="0"/>
        </c:ser>
        <c:dLbls>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marker val="0"/>
        <c:smooth val="0"/>
        <c:axId val="358894792"/>
        <c:axId val="358893616"/>
      </c:lineChart>
      <c:catAx>
        <c:axId val="358894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spc="30" baseline="0">
                <a:solidFill>
                  <a:schemeClr val="lt1"/>
                </a:solidFill>
                <a:latin typeface="+mn-lt"/>
                <a:ea typeface="+mn-ea"/>
                <a:cs typeface="+mn-cs"/>
              </a:defRPr>
            </a:pPr>
          </a:p>
        </c:txPr>
        <c:crossAx val="358893616"/>
        <c:crosses val="autoZero"/>
        <c:auto val="1"/>
        <c:lblAlgn val="ctr"/>
        <c:lblOffset val="100"/>
        <c:noMultiLvlLbl val="0"/>
      </c:catAx>
      <c:valAx>
        <c:axId val="358893616"/>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lt1"/>
                </a:solidFill>
                <a:latin typeface="+mn-lt"/>
                <a:ea typeface="+mn-ea"/>
                <a:cs typeface="+mn-cs"/>
              </a:defRPr>
            </a:pPr>
          </a:p>
        </c:txPr>
        <c:crossAx val="358894792"/>
        <c:crosses val="autoZero"/>
        <c:crossBetween val="between"/>
      </c:valAx>
      <c:spPr>
        <a:noFill/>
        <a:ln w="25400">
          <a:noFill/>
        </a:ln>
        <a:effectLst/>
      </c:spPr>
    </c:plotArea>
    <c:plotVisOnly val="1"/>
    <c:dispBlanksAs val="gap"/>
    <c:showDLblsOverMax val="0"/>
  </c:chart>
  <c:spPr>
    <a:solidFill>
      <a:schemeClr val="accent1"/>
    </a:solidFill>
    <a:ln w="9525" cap="flat" cmpd="sng" algn="ctr">
      <a:solidFill>
        <a:schemeClr val="lt1">
          <a:lumMod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p>
      </c:txPr>
    </c:title>
    <c:autoTitleDeleted val="0"/>
    <c:plotArea>
      <c:layout/>
      <c:lineChart>
        <c:grouping val="stacked"/>
        <c:varyColors val="0"/>
        <c:ser>
          <c:idx val="0"/>
          <c:order val="0"/>
          <c:tx>
            <c:strRef>
              <c:f>Sheet2!$C$1</c:f>
              <c:strCache>
                <c:ptCount val="1"/>
                <c:pt idx="0">
                  <c:v>生均实训实习工位数（个）</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Sheet2!$A$2:$A$4</c:f>
              <c:strCache>
                <c:ptCount val="3"/>
                <c:pt idx="0">
                  <c:v>2018年</c:v>
                </c:pt>
                <c:pt idx="1">
                  <c:v>2019年</c:v>
                </c:pt>
                <c:pt idx="2">
                  <c:v>2020年</c:v>
                </c:pt>
              </c:strCache>
            </c:strRef>
          </c:cat>
          <c:val>
            <c:numRef>
              <c:f>Sheet2!$C$2:$C$4</c:f>
              <c:numCache>
                <c:formatCode>General</c:formatCode>
                <c:ptCount val="3"/>
                <c:pt idx="0">
                  <c:v>0.51</c:v>
                </c:pt>
                <c:pt idx="1">
                  <c:v>0.53</c:v>
                </c:pt>
                <c:pt idx="2">
                  <c:v>0.55</c:v>
                </c:pt>
              </c:numCache>
            </c:numRef>
          </c:val>
          <c:smooth val="0"/>
        </c:ser>
        <c:dLbls>
          <c:showLegendKey val="0"/>
          <c:showVal val="1"/>
          <c:showCatName val="0"/>
          <c:showSerName val="0"/>
          <c:showPercent val="0"/>
          <c:showBubbleSize val="0"/>
        </c:dLbls>
        <c:marker val="1"/>
        <c:smooth val="0"/>
        <c:axId val="358895968"/>
        <c:axId val="358892440"/>
      </c:lineChart>
      <c:catAx>
        <c:axId val="3588959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58892440"/>
        <c:crosses val="autoZero"/>
        <c:auto val="1"/>
        <c:lblAlgn val="ctr"/>
        <c:lblOffset val="100"/>
        <c:noMultiLvlLbl val="0"/>
      </c:catAx>
      <c:valAx>
        <c:axId val="3588924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358895968"/>
        <c:crosses val="autoZero"/>
        <c:crossBetween val="between"/>
      </c:valAx>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p>
      </c:txPr>
    </c:title>
    <c:autoTitleDeleted val="0"/>
    <c:plotArea>
      <c:layout>
        <c:manualLayout>
          <c:layoutTarget val="inner"/>
          <c:xMode val="edge"/>
          <c:yMode val="edge"/>
          <c:x val="0.0855531496062992"/>
          <c:y val="0.181481481481481"/>
          <c:w val="0.883891294838145"/>
          <c:h val="0.712438757655293"/>
        </c:manualLayout>
      </c:layout>
      <c:lineChart>
        <c:grouping val="standard"/>
        <c:varyColors val="0"/>
        <c:ser>
          <c:idx val="0"/>
          <c:order val="0"/>
          <c:tx>
            <c:strRef>
              <c:f>Sheet2!$D$1</c:f>
              <c:strCache>
                <c:ptCount val="1"/>
                <c:pt idx="0">
                  <c:v>生均纸质图书数（册）</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delete val="1"/>
          </c:dLbls>
          <c:cat>
            <c:strRef>
              <c:f>Sheet2!$A$2:$A$4</c:f>
              <c:strCache>
                <c:ptCount val="3"/>
                <c:pt idx="0">
                  <c:v>2018年</c:v>
                </c:pt>
                <c:pt idx="1">
                  <c:v>2019年</c:v>
                </c:pt>
                <c:pt idx="2">
                  <c:v>2020年</c:v>
                </c:pt>
              </c:strCache>
            </c:strRef>
          </c:cat>
          <c:val>
            <c:numRef>
              <c:f>Sheet2!$D$2:$D$4</c:f>
              <c:numCache>
                <c:formatCode>General</c:formatCode>
                <c:ptCount val="3"/>
                <c:pt idx="0">
                  <c:v>29.6</c:v>
                </c:pt>
                <c:pt idx="1">
                  <c:v>30.4</c:v>
                </c:pt>
                <c:pt idx="2">
                  <c:v>31</c:v>
                </c:pt>
              </c:numCache>
            </c:numRef>
          </c:val>
          <c:smooth val="0"/>
        </c:ser>
        <c:dLbls>
          <c:showLegendKey val="0"/>
          <c:showVal val="0"/>
          <c:showCatName val="0"/>
          <c:showSerName val="0"/>
          <c:showPercent val="0"/>
          <c:showBubbleSize val="0"/>
        </c:dLbls>
        <c:marker val="0"/>
        <c:smooth val="0"/>
        <c:axId val="512488136"/>
        <c:axId val="512485784"/>
      </c:lineChart>
      <c:catAx>
        <c:axId val="51248813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crossAx val="512485784"/>
        <c:crosses val="autoZero"/>
        <c:auto val="1"/>
        <c:lblAlgn val="ctr"/>
        <c:lblOffset val="100"/>
        <c:noMultiLvlLbl val="0"/>
      </c:catAx>
      <c:valAx>
        <c:axId val="51248578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crossAx val="5124881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r>
              <a:rPr lang="zh-CN"/>
              <a:t>德育课程设置</a:t>
            </a:r>
            <a:endParaRPr lang="zh-CN"/>
          </a:p>
        </c:rich>
      </c:tx>
      <c:layout/>
      <c:overlay val="0"/>
      <c:spPr>
        <a:noFill/>
        <a:ln>
          <a:noFill/>
        </a:ln>
        <a:effectLst/>
      </c:spPr>
    </c:title>
    <c:autoTitleDeleted val="0"/>
    <c:plotArea>
      <c:layout/>
      <c:pieChart>
        <c:varyColors val="1"/>
        <c:ser>
          <c:idx val="0"/>
          <c:order val="0"/>
          <c:tx>
            <c:strRef>
              <c:f>Sheet4!$B$1</c:f>
              <c:strCache>
                <c:ptCount val="1"/>
                <c:pt idx="0">
                  <c:v>开设学期</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Sheet4!$A$2:$A$5</c:f>
              <c:strCache>
                <c:ptCount val="4"/>
                <c:pt idx="0">
                  <c:v>职业生涯规划</c:v>
                </c:pt>
                <c:pt idx="1">
                  <c:v>职业的道德法律</c:v>
                </c:pt>
                <c:pt idx="2">
                  <c:v>经济政治与社会</c:v>
                </c:pt>
                <c:pt idx="3">
                  <c:v>哲学与人生</c:v>
                </c:pt>
              </c:strCache>
            </c:strRef>
          </c:cat>
          <c:val>
            <c:numRef>
              <c:f>Sheet4!$B$2:$B$5</c:f>
              <c:numCache>
                <c:formatCode>General</c:formatCode>
                <c:ptCount val="4"/>
                <c:pt idx="0">
                  <c:v>1</c:v>
                </c:pt>
                <c:pt idx="1">
                  <c:v>2</c:v>
                </c:pt>
                <c:pt idx="2">
                  <c:v>3</c:v>
                </c:pt>
                <c:pt idx="3">
                  <c:v>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baseline="0">
                <a:solidFill>
                  <a:schemeClr val="tx2"/>
                </a:solidFill>
                <a:latin typeface="+mn-lt"/>
                <a:ea typeface="+mn-ea"/>
                <a:cs typeface="+mn-cs"/>
              </a:defRPr>
            </a:pPr>
            <a:r>
              <a:rPr lang="en-US"/>
              <a:t>2018</a:t>
            </a:r>
            <a:r>
              <a:rPr lang="zh-CN"/>
              <a:t>年</a:t>
            </a:r>
            <a:r>
              <a:rPr lang="en-US"/>
              <a:t>-2020</a:t>
            </a:r>
            <a:r>
              <a:rPr lang="zh-CN"/>
              <a:t>年大同市中等职业学校学生素质主要要素分析</a:t>
            </a:r>
            <a:endParaRPr lang="zh-CN"/>
          </a:p>
        </c:rich>
      </c:tx>
      <c:layout/>
      <c:overlay val="0"/>
      <c:spPr>
        <a:noFill/>
        <a:ln>
          <a:noFill/>
        </a:ln>
        <a:effectLst/>
      </c:spPr>
    </c:title>
    <c:autoTitleDeleted val="0"/>
    <c:plotArea>
      <c:layout/>
      <c:lineChart>
        <c:grouping val="standard"/>
        <c:varyColors val="0"/>
        <c:ser>
          <c:idx val="0"/>
          <c:order val="0"/>
          <c:tx>
            <c:strRef>
              <c:f>Sheet5!$B$2</c:f>
              <c:strCache>
                <c:ptCount val="1"/>
                <c:pt idx="0">
                  <c:v>2018年</c:v>
                </c:pt>
              </c:strCache>
            </c:strRef>
          </c:tx>
          <c:spPr>
            <a:ln w="25400" cap="rnd">
              <a:noFill/>
              <a:round/>
            </a:ln>
            <a:effectLst>
              <a:outerShdw blurRad="40000" dist="23000" dir="5400000" rotWithShape="0">
                <a:srgbClr val="000000">
                  <a:alpha val="35000"/>
                </a:srgbClr>
              </a:outerShdw>
            </a:effectLst>
            <a:sp3d/>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delete val="1"/>
          </c:dLbls>
          <c:cat>
            <c:strRef>
              <c:f>Sheet5!$A$3:$A$6</c:f>
              <c:strCache>
                <c:ptCount val="4"/>
                <c:pt idx="0">
                  <c:v>文化课合格率</c:v>
                </c:pt>
                <c:pt idx="1">
                  <c:v>专业技能合格率</c:v>
                </c:pt>
                <c:pt idx="2">
                  <c:v>体质测评合格率</c:v>
                </c:pt>
                <c:pt idx="3">
                  <c:v>毕业率</c:v>
                </c:pt>
              </c:strCache>
            </c:strRef>
          </c:cat>
          <c:val>
            <c:numRef>
              <c:f>Sheet5!$B$3:$B$6</c:f>
              <c:numCache>
                <c:formatCode>0.00%</c:formatCode>
                <c:ptCount val="4"/>
                <c:pt idx="0">
                  <c:v>0.951</c:v>
                </c:pt>
                <c:pt idx="1">
                  <c:v>0.897</c:v>
                </c:pt>
                <c:pt idx="2">
                  <c:v>0.913</c:v>
                </c:pt>
                <c:pt idx="3">
                  <c:v>0.977</c:v>
                </c:pt>
              </c:numCache>
            </c:numRef>
          </c:val>
          <c:smooth val="0"/>
        </c:ser>
        <c:ser>
          <c:idx val="1"/>
          <c:order val="1"/>
          <c:tx>
            <c:strRef>
              <c:f>Sheet5!$C$2</c:f>
              <c:strCache>
                <c:ptCount val="1"/>
                <c:pt idx="0">
                  <c:v>2019年</c:v>
                </c:pt>
              </c:strCache>
            </c:strRef>
          </c:tx>
          <c:spPr>
            <a:ln w="25400" cap="rnd">
              <a:noFill/>
              <a:round/>
            </a:ln>
            <a:effectLst>
              <a:outerShdw blurRad="40000" dist="23000" dir="5400000" rotWithShape="0">
                <a:srgbClr val="000000">
                  <a:alpha val="35000"/>
                </a:srgbClr>
              </a:outerShdw>
            </a:effectLst>
            <a:sp3d/>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delete val="1"/>
          </c:dLbls>
          <c:cat>
            <c:strRef>
              <c:f>Sheet5!$A$3:$A$6</c:f>
              <c:strCache>
                <c:ptCount val="4"/>
                <c:pt idx="0">
                  <c:v>文化课合格率</c:v>
                </c:pt>
                <c:pt idx="1">
                  <c:v>专业技能合格率</c:v>
                </c:pt>
                <c:pt idx="2">
                  <c:v>体质测评合格率</c:v>
                </c:pt>
                <c:pt idx="3">
                  <c:v>毕业率</c:v>
                </c:pt>
              </c:strCache>
            </c:strRef>
          </c:cat>
          <c:val>
            <c:numRef>
              <c:f>Sheet5!$C$3:$C$6</c:f>
              <c:numCache>
                <c:formatCode>0.00%</c:formatCode>
                <c:ptCount val="4"/>
                <c:pt idx="0">
                  <c:v>0.9463</c:v>
                </c:pt>
                <c:pt idx="1">
                  <c:v>0.9577</c:v>
                </c:pt>
                <c:pt idx="2">
                  <c:v>0.9501</c:v>
                </c:pt>
                <c:pt idx="3">
                  <c:v>0.9025</c:v>
                </c:pt>
              </c:numCache>
            </c:numRef>
          </c:val>
          <c:smooth val="0"/>
        </c:ser>
        <c:ser>
          <c:idx val="2"/>
          <c:order val="2"/>
          <c:tx>
            <c:strRef>
              <c:f>Sheet5!$D$2</c:f>
              <c:strCache>
                <c:ptCount val="1"/>
                <c:pt idx="0">
                  <c:v>2020年</c:v>
                </c:pt>
              </c:strCache>
            </c:strRef>
          </c:tx>
          <c:spPr>
            <a:ln w="25400" cap="rnd">
              <a:noFill/>
              <a:round/>
            </a:ln>
            <a:effectLst>
              <a:outerShdw blurRad="40000" dist="23000" dir="5400000" rotWithShape="0">
                <a:srgbClr val="000000">
                  <a:alpha val="35000"/>
                </a:srgbClr>
              </a:outerShdw>
            </a:effectLst>
            <a:sp3d/>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delete val="1"/>
          </c:dLbls>
          <c:cat>
            <c:strRef>
              <c:f>Sheet5!$A$3:$A$6</c:f>
              <c:strCache>
                <c:ptCount val="4"/>
                <c:pt idx="0">
                  <c:v>文化课合格率</c:v>
                </c:pt>
                <c:pt idx="1">
                  <c:v>专业技能合格率</c:v>
                </c:pt>
                <c:pt idx="2">
                  <c:v>体质测评合格率</c:v>
                </c:pt>
                <c:pt idx="3">
                  <c:v>毕业率</c:v>
                </c:pt>
              </c:strCache>
            </c:strRef>
          </c:cat>
          <c:val>
            <c:numRef>
              <c:f>Sheet5!$D$3:$D$6</c:f>
              <c:numCache>
                <c:formatCode>0.00%</c:formatCode>
                <c:ptCount val="4"/>
                <c:pt idx="0">
                  <c:v>0.9488</c:v>
                </c:pt>
                <c:pt idx="1" c:formatCode="0%">
                  <c:v>0.96</c:v>
                </c:pt>
                <c:pt idx="2">
                  <c:v>0.955</c:v>
                </c:pt>
                <c:pt idx="3" c:formatCode="0%">
                  <c:v>0.95</c:v>
                </c:pt>
              </c:numCache>
            </c:numRef>
          </c:val>
          <c:smooth val="0"/>
        </c:ser>
        <c:dLbls>
          <c:showLegendKey val="0"/>
          <c:showVal val="0"/>
          <c:showCatName val="0"/>
          <c:showSerName val="0"/>
          <c:showPercent val="0"/>
          <c:showBubbleSize val="0"/>
        </c:dLbls>
        <c:marker val="1"/>
        <c:smooth val="0"/>
        <c:axId val="512487352"/>
        <c:axId val="512487744"/>
      </c:lineChart>
      <c:catAx>
        <c:axId val="51248735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crossAx val="512487744"/>
        <c:crosses val="autoZero"/>
        <c:auto val="1"/>
        <c:lblAlgn val="ctr"/>
        <c:lblOffset val="100"/>
        <c:noMultiLvlLbl val="0"/>
      </c:catAx>
      <c:valAx>
        <c:axId val="512487744"/>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crossAx val="512487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baseline="0">
                <a:solidFill>
                  <a:schemeClr val="tx1">
                    <a:lumMod val="65000"/>
                    <a:lumOff val="35000"/>
                  </a:schemeClr>
                </a:solidFill>
                <a:latin typeface="+mn-lt"/>
                <a:ea typeface="+mn-ea"/>
                <a:cs typeface="+mn-cs"/>
              </a:defRPr>
            </a:pPr>
            <a:r>
              <a:rPr lang="en-US"/>
              <a:t>2018</a:t>
            </a:r>
            <a:r>
              <a:rPr lang="zh-CN"/>
              <a:t>年</a:t>
            </a:r>
            <a:r>
              <a:rPr lang="en-US"/>
              <a:t>-2020</a:t>
            </a:r>
            <a:r>
              <a:rPr lang="zh-CN"/>
              <a:t>年学生就业情况统计分析</a:t>
            </a:r>
            <a:endParaRPr lang="en-US"/>
          </a:p>
        </c:rich>
      </c:tx>
      <c:layout/>
      <c:overlay val="0"/>
      <c:spPr>
        <a:noFill/>
        <a:ln>
          <a:noFill/>
        </a:ln>
        <a:effectLst/>
      </c:spPr>
    </c:title>
    <c:autoTitleDeleted val="0"/>
    <c:plotArea>
      <c:layout/>
      <c:barChart>
        <c:barDir val="col"/>
        <c:grouping val="clustered"/>
        <c:varyColors val="0"/>
        <c:ser>
          <c:idx val="0"/>
          <c:order val="0"/>
          <c:tx>
            <c:strRef>
              <c:f>Sheet6!$A$3</c:f>
              <c:strCache>
                <c:ptCount val="1"/>
                <c:pt idx="0">
                  <c:v>就业率</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strRef>
              <c:f>Sheet6!$B$2:$D$2</c:f>
              <c:strCache>
                <c:ptCount val="3"/>
                <c:pt idx="0">
                  <c:v>2018年</c:v>
                </c:pt>
                <c:pt idx="1">
                  <c:v>2019年</c:v>
                </c:pt>
                <c:pt idx="2">
                  <c:v>2020年</c:v>
                </c:pt>
              </c:strCache>
            </c:strRef>
          </c:cat>
          <c:val>
            <c:numRef>
              <c:f>Sheet6!$B$3:$D$3</c:f>
              <c:numCache>
                <c:formatCode>0.00%</c:formatCode>
                <c:ptCount val="3"/>
                <c:pt idx="0">
                  <c:v>0.9114</c:v>
                </c:pt>
                <c:pt idx="1">
                  <c:v>0.9558</c:v>
                </c:pt>
                <c:pt idx="2">
                  <c:v>0.9514</c:v>
                </c:pt>
              </c:numCache>
            </c:numRef>
          </c:val>
        </c:ser>
        <c:ser>
          <c:idx val="1"/>
          <c:order val="1"/>
          <c:tx>
            <c:strRef>
              <c:f>Sheet6!$A$4</c:f>
              <c:strCache>
                <c:ptCount val="1"/>
                <c:pt idx="0">
                  <c:v>对口就业率</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strRef>
              <c:f>Sheet6!$B$2:$D$2</c:f>
              <c:strCache>
                <c:ptCount val="3"/>
                <c:pt idx="0">
                  <c:v>2018年</c:v>
                </c:pt>
                <c:pt idx="1">
                  <c:v>2019年</c:v>
                </c:pt>
                <c:pt idx="2">
                  <c:v>2020年</c:v>
                </c:pt>
              </c:strCache>
            </c:strRef>
          </c:cat>
          <c:val>
            <c:numRef>
              <c:f>Sheet6!$B$4:$D$4</c:f>
              <c:numCache>
                <c:formatCode>0.00%</c:formatCode>
                <c:ptCount val="3"/>
                <c:pt idx="0">
                  <c:v>0.503</c:v>
                </c:pt>
                <c:pt idx="1">
                  <c:v>0.8582</c:v>
                </c:pt>
                <c:pt idx="2">
                  <c:v>0.7783</c:v>
                </c:pt>
              </c:numCache>
            </c:numRef>
          </c:val>
        </c:ser>
        <c:ser>
          <c:idx val="2"/>
          <c:order val="2"/>
          <c:tx>
            <c:strRef>
              <c:f>Sheet6!$A$5</c:f>
              <c:strCache>
                <c:ptCount val="1"/>
                <c:pt idx="0">
                  <c:v>初次就业月收入</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strRef>
              <c:f>Sheet6!$B$2:$D$2</c:f>
              <c:strCache>
                <c:ptCount val="3"/>
                <c:pt idx="0">
                  <c:v>2018年</c:v>
                </c:pt>
                <c:pt idx="1">
                  <c:v>2019年</c:v>
                </c:pt>
                <c:pt idx="2">
                  <c:v>2020年</c:v>
                </c:pt>
              </c:strCache>
            </c:strRef>
          </c:cat>
          <c:val>
            <c:numRef>
              <c:f>Sheet6!$B$5:$D$5</c:f>
              <c:numCache>
                <c:formatCode>General</c:formatCode>
                <c:ptCount val="3"/>
                <c:pt idx="0">
                  <c:v>0</c:v>
                </c:pt>
                <c:pt idx="1">
                  <c:v>0</c:v>
                </c:pt>
                <c:pt idx="2">
                  <c:v>0</c:v>
                </c:pt>
              </c:numCache>
            </c:numRef>
          </c:val>
        </c:ser>
        <c:dLbls>
          <c:showLegendKey val="0"/>
          <c:showVal val="0"/>
          <c:showCatName val="0"/>
          <c:showSerName val="0"/>
          <c:showPercent val="0"/>
          <c:showBubbleSize val="0"/>
        </c:dLbls>
        <c:gapWidth val="219"/>
        <c:overlap val="-27"/>
        <c:axId val="512488528"/>
        <c:axId val="512485392"/>
      </c:barChart>
      <c:lineChart>
        <c:grouping val="standard"/>
        <c:varyColors val="0"/>
        <c:ser>
          <c:idx val="3"/>
          <c:order val="3"/>
          <c:tx>
            <c:strRef>
              <c:f>Sheet6!$A$6</c:f>
              <c:strCache>
                <c:ptCount val="1"/>
                <c:pt idx="0">
                  <c:v>创业率</c:v>
                </c:pt>
              </c:strCache>
            </c:strRef>
          </c:tx>
          <c:spPr>
            <a:ln w="34925" cap="rnd">
              <a:solidFill>
                <a:schemeClr val="accent4"/>
              </a:solidFill>
              <a:round/>
            </a:ln>
            <a:effectLst>
              <a:outerShdw blurRad="40000" dist="23000" dir="5400000" rotWithShape="0">
                <a:srgbClr val="000000">
                  <a:alpha val="35000"/>
                </a:srgbClr>
              </a:outerShdw>
            </a:effectLst>
          </c:spPr>
          <c:marker>
            <c:symbol val="none"/>
          </c:marker>
          <c:dLbls>
            <c:delete val="1"/>
          </c:dLbls>
          <c:cat>
            <c:strRef>
              <c:f>Sheet6!$B$2:$D$2</c:f>
              <c:strCache>
                <c:ptCount val="3"/>
                <c:pt idx="0">
                  <c:v>2018年</c:v>
                </c:pt>
                <c:pt idx="1">
                  <c:v>2019年</c:v>
                </c:pt>
                <c:pt idx="2">
                  <c:v>2020年</c:v>
                </c:pt>
              </c:strCache>
            </c:strRef>
          </c:cat>
          <c:val>
            <c:numRef>
              <c:f>Sheet6!$B$6:$D$6</c:f>
              <c:numCache>
                <c:formatCode>0%</c:formatCode>
                <c:ptCount val="3"/>
                <c:pt idx="0">
                  <c:v>0.04</c:v>
                </c:pt>
                <c:pt idx="1" c:formatCode="0.00%">
                  <c:v>0.045</c:v>
                </c:pt>
                <c:pt idx="2" c:formatCode="0.00%">
                  <c:v>0.042</c:v>
                </c:pt>
              </c:numCache>
            </c:numRef>
          </c:val>
          <c:smooth val="0"/>
        </c:ser>
        <c:dLbls>
          <c:showLegendKey val="0"/>
          <c:showVal val="0"/>
          <c:showCatName val="0"/>
          <c:showSerName val="0"/>
          <c:showPercent val="0"/>
          <c:showBubbleSize val="0"/>
        </c:dLbls>
        <c:marker val="0"/>
        <c:smooth val="0"/>
        <c:axId val="512490096"/>
        <c:axId val="512489312"/>
      </c:lineChart>
      <c:catAx>
        <c:axId val="5124885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2485392"/>
        <c:crosses val="autoZero"/>
        <c:auto val="1"/>
        <c:lblAlgn val="ctr"/>
        <c:lblOffset val="100"/>
        <c:noMultiLvlLbl val="0"/>
      </c:catAx>
      <c:valAx>
        <c:axId val="512485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2488528"/>
        <c:crosses val="autoZero"/>
        <c:crossBetween val="between"/>
      </c:valAx>
      <c:catAx>
        <c:axId val="512490096"/>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2489312"/>
        <c:crosses val="autoZero"/>
        <c:auto val="1"/>
        <c:lblAlgn val="ctr"/>
        <c:lblOffset val="100"/>
        <c:noMultiLvlLbl val="0"/>
      </c:catAx>
      <c:valAx>
        <c:axId val="51248931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2490096"/>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r>
              <a:rPr lang="en-US" sz="1400"/>
              <a:t>2019</a:t>
            </a:r>
            <a:r>
              <a:rPr lang="uk-UA" sz="1400"/>
              <a:t>年与</a:t>
            </a:r>
            <a:r>
              <a:rPr lang="en-US" sz="1400"/>
              <a:t>2020</a:t>
            </a:r>
            <a:r>
              <a:rPr lang="uk-UA" sz="1400"/>
              <a:t>年</a:t>
            </a:r>
            <a:r>
              <a:rPr lang="zh-CN" sz="1400"/>
              <a:t>毕业生</a:t>
            </a:r>
            <a:r>
              <a:rPr lang="uk-UA" sz="1400"/>
              <a:t>总量与就业分析表</a:t>
            </a:r>
            <a:endParaRPr lang="zh-CN" sz="1400"/>
          </a:p>
        </c:rich>
      </c:tx>
      <c:layout/>
      <c:overlay val="0"/>
      <c:spPr>
        <a:noFill/>
        <a:ln>
          <a:noFill/>
        </a:ln>
        <a:effectLst/>
      </c:spPr>
    </c:title>
    <c:autoTitleDeleted val="0"/>
    <c:plotArea>
      <c:layout/>
      <c:barChart>
        <c:barDir val="col"/>
        <c:grouping val="standard"/>
        <c:varyColors val="0"/>
        <c:ser>
          <c:idx val="0"/>
          <c:order val="0"/>
          <c:tx>
            <c:strRef>
              <c:f>Sheet7!$E$2:$G$2</c:f>
              <c:strCache>
                <c:ptCount val="1"/>
                <c:pt idx="0">
                  <c:v>2019年 8986人 4549人</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elete val="1"/>
          </c:dLbls>
          <c:cat>
            <c:strRef>
              <c:f>Sheet7!$H$1:$J$1</c:f>
              <c:strCache>
                <c:ptCount val="3"/>
                <c:pt idx="0">
                  <c:v>就业占比总量</c:v>
                </c:pt>
                <c:pt idx="1">
                  <c:v>本地就业</c:v>
                </c:pt>
                <c:pt idx="2">
                  <c:v>本地就业占比</c:v>
                </c:pt>
              </c:strCache>
            </c:strRef>
          </c:cat>
          <c:val>
            <c:numRef>
              <c:f>Sheet7!$H$2:$J$2</c:f>
              <c:numCache>
                <c:formatCode>0.00%</c:formatCode>
                <c:ptCount val="3"/>
                <c:pt idx="0">
                  <c:v>0.5062</c:v>
                </c:pt>
                <c:pt idx="1" c:formatCode="General">
                  <c:v>0</c:v>
                </c:pt>
                <c:pt idx="2">
                  <c:v>0.7923</c:v>
                </c:pt>
              </c:numCache>
            </c:numRef>
          </c:val>
        </c:ser>
        <c:ser>
          <c:idx val="1"/>
          <c:order val="1"/>
          <c:tx>
            <c:strRef>
              <c:f>Sheet7!$E$3:$G$3</c:f>
              <c:strCache>
                <c:ptCount val="1"/>
                <c:pt idx="0">
                  <c:v>2020年 5758人 1365人</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elete val="1"/>
          </c:dLbls>
          <c:cat>
            <c:strRef>
              <c:f>Sheet7!$H$1:$J$1</c:f>
              <c:strCache>
                <c:ptCount val="3"/>
                <c:pt idx="0">
                  <c:v>就业占比总量</c:v>
                </c:pt>
                <c:pt idx="1">
                  <c:v>本地就业</c:v>
                </c:pt>
                <c:pt idx="2">
                  <c:v>本地就业占比</c:v>
                </c:pt>
              </c:strCache>
            </c:strRef>
          </c:cat>
          <c:val>
            <c:numRef>
              <c:f>Sheet7!$H$3:$J$3</c:f>
              <c:numCache>
                <c:formatCode>0.00%</c:formatCode>
                <c:ptCount val="3"/>
                <c:pt idx="0">
                  <c:v>0.237</c:v>
                </c:pt>
                <c:pt idx="1" c:formatCode="General">
                  <c:v>0</c:v>
                </c:pt>
                <c:pt idx="2" c:formatCode="General">
                  <c:v>65.27</c:v>
                </c:pt>
              </c:numCache>
            </c:numRef>
          </c:val>
        </c:ser>
        <c:dLbls>
          <c:showLegendKey val="0"/>
          <c:showVal val="0"/>
          <c:showCatName val="0"/>
          <c:showSerName val="0"/>
          <c:showPercent val="0"/>
          <c:showBubbleSize val="0"/>
        </c:dLbls>
        <c:gapWidth val="65"/>
        <c:axId val="1720679696"/>
        <c:axId val="1720663056"/>
      </c:barChart>
      <c:catAx>
        <c:axId val="1720679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1720663056"/>
        <c:crosses val="autoZero"/>
        <c:auto val="1"/>
        <c:lblAlgn val="ctr"/>
        <c:lblOffset val="100"/>
        <c:noMultiLvlLbl val="0"/>
      </c:catAx>
      <c:valAx>
        <c:axId val="1720663056"/>
        <c:scaling>
          <c:orientation val="minMax"/>
        </c:scaling>
        <c:delete val="0"/>
        <c:axPos val="l"/>
        <c:majorGridlines>
          <c:spPr>
            <a:ln w="9525" cap="flat" cmpd="sng" algn="ctr">
              <a:solidFill>
                <a:schemeClr val="dk1">
                  <a:lumMod val="15000"/>
                  <a:lumOff val="8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1720679696"/>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baseline="0">
                <a:solidFill>
                  <a:schemeClr val="tx1">
                    <a:lumMod val="65000"/>
                    <a:lumOff val="35000"/>
                  </a:schemeClr>
                </a:solidFill>
                <a:latin typeface="+mn-lt"/>
                <a:ea typeface="+mn-ea"/>
                <a:cs typeface="+mn-cs"/>
              </a:defRPr>
            </a:pPr>
            <a:r>
              <a:rPr lang="en-US" sz="1400"/>
              <a:t>2019</a:t>
            </a:r>
            <a:r>
              <a:rPr lang="zh-CN" sz="1400"/>
              <a:t>年大同市中等职业学校学生就业产业分布</a:t>
            </a:r>
            <a:endParaRPr lang="zh-CN" sz="1400"/>
          </a:p>
        </c:rich>
      </c:tx>
      <c:layout/>
      <c:overlay val="0"/>
      <c:spPr>
        <a:noFill/>
        <a:ln>
          <a:noFill/>
        </a:ln>
        <a:effectLst/>
      </c:spPr>
    </c:title>
    <c:autoTitleDeleted val="0"/>
    <c:plotArea>
      <c:layout/>
      <c:pieChart>
        <c:varyColors val="1"/>
        <c:ser>
          <c:idx val="0"/>
          <c:order val="0"/>
          <c:spPr/>
          <c:explosion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Sheet7!$B$1:$D$1</c:f>
              <c:strCache>
                <c:ptCount val="3"/>
                <c:pt idx="0">
                  <c:v>第一产业</c:v>
                </c:pt>
                <c:pt idx="1">
                  <c:v>第二产业</c:v>
                </c:pt>
                <c:pt idx="2">
                  <c:v>第三产业</c:v>
                </c:pt>
              </c:strCache>
            </c:strRef>
          </c:cat>
          <c:val>
            <c:numRef>
              <c:f>Sheet7!$B$2:$D$2</c:f>
              <c:numCache>
                <c:formatCode>0%</c:formatCode>
                <c:ptCount val="3"/>
                <c:pt idx="0">
                  <c:v>0.012</c:v>
                </c:pt>
                <c:pt idx="1" c:formatCode="0.00%">
                  <c:v>0.088</c:v>
                </c:pt>
                <c:pt idx="2" c:formatCode="0.00%">
                  <c:v>0.902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08">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6">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FC8ABD-35E9-4EA2-B130-9F10A53C3665}">
  <ds:schemaRefs/>
</ds:datastoreItem>
</file>

<file path=docProps/app.xml><?xml version="1.0" encoding="utf-8"?>
<Properties xmlns="http://schemas.openxmlformats.org/officeDocument/2006/extended-properties" xmlns:vt="http://schemas.openxmlformats.org/officeDocument/2006/docPropsVTypes">
  <Template>Normal.dotm</Template>
  <Pages>1</Pages>
  <Words>5974</Words>
  <Characters>34056</Characters>
  <Lines>283</Lines>
  <Paragraphs>79</Paragraphs>
  <TotalTime>14</TotalTime>
  <ScaleCrop>false</ScaleCrop>
  <LinksUpToDate>false</LinksUpToDate>
  <CharactersWithSpaces>39951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2021-03-16T06:48:00Z</dcterms:created>
  <dc:creator>cp</dc:creator>
  <cp:lastModifiedBy>Totem Pole</cp:lastModifiedBy>
  <cp:lastPrinted>2021-03-16T07:17:00Z</cp:lastPrinted>
  <dcterms:modified xsi:type="dcterms:W3CDTF">2021-03-16T07:25:26Z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5E94961D966149FEAB09322618C82725</vt:lpwstr>
  </property>
</Properties>
</file>