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b/>
          <w:bCs/>
          <w:sz w:val="44"/>
          <w:szCs w:val="44"/>
          <w:lang w:eastAsia="zh-CN"/>
        </w:rPr>
      </w:pPr>
      <w:r>
        <w:rPr>
          <w:rFonts w:hint="eastAsia" w:ascii="黑体" w:hAnsi="黑体" w:eastAsia="黑体" w:cs="黑体"/>
          <w:b/>
          <w:bCs/>
          <w:sz w:val="44"/>
          <w:szCs w:val="44"/>
          <w:lang w:eastAsia="zh-CN"/>
        </w:rPr>
        <w:drawing>
          <wp:inline distT="0" distB="0" distL="114300" distR="114300">
            <wp:extent cx="5267960" cy="7450455"/>
            <wp:effectExtent l="0" t="0" r="8890" b="17145"/>
            <wp:docPr id="15" name="图片 15" descr="doc0690652021112209402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oc06906520211122094026_00"/>
                    <pic:cNvPicPr>
                      <a:picLocks noChangeAspect="1"/>
                    </pic:cNvPicPr>
                  </pic:nvPicPr>
                  <pic:blipFill>
                    <a:blip r:embed="rId5"/>
                    <a:stretch>
                      <a:fillRect/>
                    </a:stretch>
                  </pic:blipFill>
                  <pic:spPr>
                    <a:xfrm>
                      <a:off x="0" y="0"/>
                      <a:ext cx="5267960" cy="7450455"/>
                    </a:xfrm>
                    <a:prstGeom prst="rect">
                      <a:avLst/>
                    </a:prstGeom>
                  </pic:spPr>
                </pic:pic>
              </a:graphicData>
            </a:graphic>
          </wp:inline>
        </w:drawing>
      </w:r>
    </w:p>
    <w:p>
      <w:pPr>
        <w:pStyle w:val="23"/>
        <w:spacing w:before="3600"/>
        <w:jc w:val="center"/>
        <w:rPr>
          <w:rFonts w:hint="eastAsia"/>
          <w:szCs w:val="68"/>
        </w:rPr>
      </w:pPr>
      <w:bookmarkStart w:id="184" w:name="_GoBack"/>
      <w:bookmarkEnd w:id="184"/>
    </w:p>
    <w:p>
      <w:pPr>
        <w:pStyle w:val="23"/>
        <w:spacing w:before="3600"/>
        <w:jc w:val="center"/>
        <w:rPr>
          <w:szCs w:val="68"/>
        </w:rPr>
      </w:pPr>
      <w:r>
        <w:rPr>
          <w:rFonts w:hint="eastAsia"/>
          <w:szCs w:val="68"/>
        </w:rPr>
        <w:t>202</w:t>
      </w:r>
      <w:r>
        <w:rPr>
          <w:rFonts w:hint="eastAsia"/>
          <w:szCs w:val="68"/>
          <w:lang w:val="en-US" w:eastAsia="zh-CN"/>
        </w:rPr>
        <w:t>1</w:t>
      </w:r>
      <w:r>
        <w:rPr>
          <w:rFonts w:hint="eastAsia"/>
          <w:szCs w:val="68"/>
        </w:rPr>
        <w:t>年</w:t>
      </w:r>
    </w:p>
    <w:p>
      <w:pPr>
        <w:pStyle w:val="24"/>
        <w:spacing w:before="500"/>
        <w:jc w:val="center"/>
        <w:rPr>
          <w:szCs w:val="68"/>
        </w:rPr>
      </w:pPr>
      <w:r>
        <w:rPr>
          <w:rFonts w:hint="eastAsia"/>
          <w:szCs w:val="68"/>
        </w:rPr>
        <w:t>中等职业教育质量年度报告</w:t>
      </w:r>
    </w:p>
    <w:p>
      <w:pPr>
        <w:pStyle w:val="25"/>
        <w:spacing w:before="5200"/>
        <w:jc w:val="center"/>
        <w:rPr>
          <w:sz w:val="160"/>
          <w:szCs w:val="160"/>
        </w:rPr>
        <w:sectPr>
          <w:pgSz w:w="11900" w:h="16840"/>
          <w:pgMar w:top="1440" w:right="1797" w:bottom="1440" w:left="1797" w:header="720" w:footer="720" w:gutter="0"/>
          <w:cols w:space="720" w:num="1"/>
        </w:sectPr>
      </w:pPr>
      <w:r>
        <w:rPr>
          <w:rFonts w:hint="eastAsia"/>
          <w:sz w:val="40"/>
          <w:szCs w:val="40"/>
        </w:rPr>
        <w:t>大同市体育运动学校</w:t>
      </w:r>
    </w:p>
    <w:p>
      <w:pPr>
        <w:pStyle w:val="11"/>
        <w:rPr>
          <w:rFonts w:hint="eastAsia"/>
          <w:b/>
          <w:sz w:val="44"/>
          <w:szCs w:val="44"/>
        </w:rPr>
      </w:pPr>
      <w:r>
        <w:rPr>
          <w:rFonts w:hint="eastAsia"/>
          <w:b/>
          <w:sz w:val="44"/>
          <w:szCs w:val="44"/>
        </w:rPr>
        <w:t>目  录</w:t>
      </w:r>
    </w:p>
    <w:p>
      <w:pPr>
        <w:pStyle w:val="11"/>
        <w:tabs>
          <w:tab w:val="right" w:leader="dot" w:pos="8306"/>
          <w:tab w:val="clear" w:pos="8296"/>
        </w:tabs>
      </w:pPr>
      <w:r>
        <w:rPr>
          <w:rFonts w:ascii="仿宋_GB2312" w:hAnsi="仿宋_GB2312" w:eastAsia="仿宋_GB2312" w:cs="仿宋_GB2312"/>
          <w:sz w:val="40"/>
          <w:szCs w:val="40"/>
        </w:rPr>
        <w:fldChar w:fldCharType="begin"/>
      </w:r>
      <w:r>
        <w:rPr>
          <w:rFonts w:ascii="仿宋_GB2312" w:hAnsi="仿宋_GB2312" w:eastAsia="仿宋_GB2312" w:cs="仿宋_GB2312"/>
          <w:sz w:val="40"/>
          <w:szCs w:val="40"/>
        </w:rPr>
        <w:instrText xml:space="preserve"> TOC \o "1-3" \h \z \u </w:instrText>
      </w:r>
      <w:r>
        <w:rPr>
          <w:rFonts w:ascii="仿宋_GB2312" w:hAnsi="仿宋_GB2312" w:eastAsia="仿宋_GB2312" w:cs="仿宋_GB2312"/>
          <w:sz w:val="40"/>
          <w:szCs w:val="40"/>
        </w:rPr>
        <w:fldChar w:fldCharType="separate"/>
      </w: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_Toc32512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1.办学基础</w:t>
      </w:r>
      <w:r>
        <w:tab/>
      </w:r>
      <w:r>
        <w:fldChar w:fldCharType="begin"/>
      </w:r>
      <w:r>
        <w:instrText xml:space="preserve"> PAGEREF _Toc32512 \h </w:instrText>
      </w:r>
      <w:r>
        <w:fldChar w:fldCharType="separate"/>
      </w:r>
      <w:r>
        <w:t>3</w:t>
      </w:r>
      <w:r>
        <w:fldChar w:fldCharType="end"/>
      </w:r>
      <w:r>
        <w:rPr>
          <w:rFonts w:ascii="仿宋_GB2312" w:hAnsi="仿宋_GB2312" w:eastAsia="仿宋_GB2312" w:cs="仿宋_GB2312"/>
          <w:szCs w:val="40"/>
        </w:rPr>
        <w:fldChar w:fldCharType="end"/>
      </w:r>
    </w:p>
    <w:p>
      <w:pPr>
        <w:pStyle w:val="12"/>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_Toc21332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1.1办学基础</w:t>
      </w:r>
      <w:r>
        <w:tab/>
      </w:r>
      <w:r>
        <w:fldChar w:fldCharType="begin"/>
      </w:r>
      <w:r>
        <w:instrText xml:space="preserve"> PAGEREF _Toc21332 \h </w:instrText>
      </w:r>
      <w:r>
        <w:fldChar w:fldCharType="separate"/>
      </w:r>
      <w:r>
        <w:t>3</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_Toc20349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1.2办学规模</w:t>
      </w:r>
      <w:r>
        <w:tab/>
      </w:r>
      <w:r>
        <w:fldChar w:fldCharType="begin"/>
      </w:r>
      <w:r>
        <w:instrText xml:space="preserve"> PAGEREF _Toc20349 \h </w:instrText>
      </w:r>
      <w:r>
        <w:fldChar w:fldCharType="separate"/>
      </w:r>
      <w:r>
        <w:t>4</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_Toc11270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1.3专业设置</w:t>
      </w:r>
      <w:r>
        <w:tab/>
      </w:r>
      <w:r>
        <w:fldChar w:fldCharType="begin"/>
      </w:r>
      <w:r>
        <w:instrText xml:space="preserve"> PAGEREF _Toc11270 \h </w:instrText>
      </w:r>
      <w:r>
        <w:fldChar w:fldCharType="separate"/>
      </w:r>
      <w:r>
        <w:t>5</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_Toc11794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1.3.1 专业设置</w:t>
      </w:r>
      <w:r>
        <w:tab/>
      </w:r>
      <w:r>
        <w:fldChar w:fldCharType="begin"/>
      </w:r>
      <w:r>
        <w:instrText xml:space="preserve"> PAGEREF _Toc11794 \h </w:instrText>
      </w:r>
      <w:r>
        <w:fldChar w:fldCharType="separate"/>
      </w:r>
      <w:r>
        <w:t>5</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_Toc231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1.3.2 专业结构调整</w:t>
      </w:r>
      <w:r>
        <w:tab/>
      </w:r>
      <w:r>
        <w:fldChar w:fldCharType="begin"/>
      </w:r>
      <w:r>
        <w:instrText xml:space="preserve"> PAGEREF _Toc231 \h </w:instrText>
      </w:r>
      <w:r>
        <w:fldChar w:fldCharType="separate"/>
      </w:r>
      <w:r>
        <w:t>5</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_Toc23978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1.3.3 人才培养方案调整</w:t>
      </w:r>
      <w:r>
        <w:tab/>
      </w:r>
      <w:r>
        <w:fldChar w:fldCharType="begin"/>
      </w:r>
      <w:r>
        <w:instrText xml:space="preserve"> PAGEREF _Toc23978 \h </w:instrText>
      </w:r>
      <w:r>
        <w:fldChar w:fldCharType="separate"/>
      </w:r>
      <w:r>
        <w:t>6</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_Toc26382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1.3.4 特色专业</w:t>
      </w:r>
      <w:r>
        <w:tab/>
      </w:r>
      <w:r>
        <w:fldChar w:fldCharType="begin"/>
      </w:r>
      <w:r>
        <w:instrText xml:space="preserve"> PAGEREF _Toc26382 \h </w:instrText>
      </w:r>
      <w:r>
        <w:fldChar w:fldCharType="separate"/>
      </w:r>
      <w:r>
        <w:t>6</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_Toc19851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1.4教师队伍</w:t>
      </w:r>
      <w:r>
        <w:tab/>
      </w:r>
      <w:r>
        <w:fldChar w:fldCharType="begin"/>
      </w:r>
      <w:r>
        <w:instrText xml:space="preserve"> PAGEREF _Toc19851 \h </w:instrText>
      </w:r>
      <w:r>
        <w:fldChar w:fldCharType="separate"/>
      </w:r>
      <w:r>
        <w:t>6</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_Toc11526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1.5实训条件</w:t>
      </w:r>
      <w:r>
        <w:tab/>
      </w:r>
      <w:r>
        <w:fldChar w:fldCharType="begin"/>
      </w:r>
      <w:r>
        <w:instrText xml:space="preserve"> PAGEREF _Toc11526 \h </w:instrText>
      </w:r>
      <w:r>
        <w:fldChar w:fldCharType="separate"/>
      </w:r>
      <w:r>
        <w:t>8</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_Toc17648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1.6社会贡献</w:t>
      </w:r>
      <w:r>
        <w:tab/>
      </w:r>
      <w:r>
        <w:fldChar w:fldCharType="begin"/>
      </w:r>
      <w:r>
        <w:instrText xml:space="preserve"> PAGEREF _Toc17648 \h </w:instrText>
      </w:r>
      <w:r>
        <w:fldChar w:fldCharType="separate"/>
      </w:r>
      <w:r>
        <w:t>9</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_Toc19605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2.学生发展</w:t>
      </w:r>
      <w:r>
        <w:tab/>
      </w:r>
      <w:r>
        <w:fldChar w:fldCharType="begin"/>
      </w:r>
      <w:r>
        <w:instrText xml:space="preserve"> PAGEREF _Toc19605 \h </w:instrText>
      </w:r>
      <w:r>
        <w:fldChar w:fldCharType="separate"/>
      </w:r>
      <w:r>
        <w:t>12</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_Toc12334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2.1招生情况</w:t>
      </w:r>
      <w:r>
        <w:tab/>
      </w:r>
      <w:r>
        <w:fldChar w:fldCharType="begin"/>
      </w:r>
      <w:r>
        <w:instrText xml:space="preserve"> PAGEREF _Toc12334 \h </w:instrText>
      </w:r>
      <w:r>
        <w:fldChar w:fldCharType="separate"/>
      </w:r>
      <w:r>
        <w:t>12</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_Toc7096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2.2就业质量</w:t>
      </w:r>
      <w:r>
        <w:tab/>
      </w:r>
      <w:r>
        <w:fldChar w:fldCharType="begin"/>
      </w:r>
      <w:r>
        <w:instrText xml:space="preserve"> PAGEREF _Toc7096 \h </w:instrText>
      </w:r>
      <w:r>
        <w:fldChar w:fldCharType="separate"/>
      </w:r>
      <w:r>
        <w:t>13</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_Toc17480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2.2.1就业率</w:t>
      </w:r>
      <w:r>
        <w:tab/>
      </w:r>
      <w:r>
        <w:fldChar w:fldCharType="begin"/>
      </w:r>
      <w:r>
        <w:instrText xml:space="preserve"> PAGEREF _Toc17480 \h </w:instrText>
      </w:r>
      <w:r>
        <w:fldChar w:fldCharType="separate"/>
      </w:r>
      <w:r>
        <w:t>13</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_Toc15998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2.2.2对口就业率</w:t>
      </w:r>
      <w:r>
        <w:tab/>
      </w:r>
      <w:r>
        <w:fldChar w:fldCharType="begin"/>
      </w:r>
      <w:r>
        <w:instrText xml:space="preserve"> PAGEREF _Toc15998 \h </w:instrText>
      </w:r>
      <w:r>
        <w:fldChar w:fldCharType="separate"/>
      </w:r>
      <w:r>
        <w:t>13</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_Toc5088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2.2.3初次就业起薪</w:t>
      </w:r>
      <w:r>
        <w:tab/>
      </w:r>
      <w:r>
        <w:fldChar w:fldCharType="begin"/>
      </w:r>
      <w:r>
        <w:instrText xml:space="preserve"> PAGEREF _Toc5088 \h </w:instrText>
      </w:r>
      <w:r>
        <w:fldChar w:fldCharType="separate"/>
      </w:r>
      <w:r>
        <w:t>13</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_Toc10399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2.3德育工作</w:t>
      </w:r>
      <w:r>
        <w:tab/>
      </w:r>
      <w:r>
        <w:fldChar w:fldCharType="begin"/>
      </w:r>
      <w:r>
        <w:instrText xml:space="preserve"> PAGEREF _Toc10399 \h </w:instrText>
      </w:r>
      <w:r>
        <w:fldChar w:fldCharType="separate"/>
      </w:r>
      <w:r>
        <w:t>14</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_Toc18656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2.3.1德育课</w:t>
      </w:r>
      <w:r>
        <w:tab/>
      </w:r>
      <w:r>
        <w:fldChar w:fldCharType="begin"/>
      </w:r>
      <w:r>
        <w:instrText xml:space="preserve"> PAGEREF _Toc18656 \h </w:instrText>
      </w:r>
      <w:r>
        <w:fldChar w:fldCharType="separate"/>
      </w:r>
      <w:r>
        <w:t>14</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_Toc13583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2.3.2团建工作</w:t>
      </w:r>
      <w:r>
        <w:tab/>
      </w:r>
      <w:r>
        <w:fldChar w:fldCharType="begin"/>
      </w:r>
      <w:r>
        <w:instrText xml:space="preserve"> PAGEREF _Toc13583 \h </w:instrText>
      </w:r>
      <w:r>
        <w:fldChar w:fldCharType="separate"/>
      </w:r>
      <w:r>
        <w:t>15</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_Toc4188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2.3.3心理健康</w:t>
      </w:r>
      <w:r>
        <w:tab/>
      </w:r>
      <w:r>
        <w:fldChar w:fldCharType="begin"/>
      </w:r>
      <w:r>
        <w:instrText xml:space="preserve"> PAGEREF _Toc4188 \h </w:instrText>
      </w:r>
      <w:r>
        <w:fldChar w:fldCharType="separate"/>
      </w:r>
      <w:r>
        <w:t>17</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_Toc19160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2.4在校生发展</w:t>
      </w:r>
      <w:r>
        <w:tab/>
      </w:r>
      <w:r>
        <w:fldChar w:fldCharType="begin"/>
      </w:r>
      <w:r>
        <w:instrText xml:space="preserve"> PAGEREF _Toc19160 \h </w:instrText>
      </w:r>
      <w:r>
        <w:fldChar w:fldCharType="separate"/>
      </w:r>
      <w:r>
        <w:t>17</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_Toc29294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2.4.1校园文化活动</w:t>
      </w:r>
      <w:r>
        <w:tab/>
      </w:r>
      <w:r>
        <w:fldChar w:fldCharType="begin"/>
      </w:r>
      <w:r>
        <w:instrText xml:space="preserve"> PAGEREF _Toc29294 \h </w:instrText>
      </w:r>
      <w:r>
        <w:fldChar w:fldCharType="separate"/>
      </w:r>
      <w:r>
        <w:t>18</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_Toc504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2.4.2文明风采</w:t>
      </w:r>
      <w:r>
        <w:tab/>
      </w:r>
      <w:r>
        <w:fldChar w:fldCharType="begin"/>
      </w:r>
      <w:r>
        <w:instrText xml:space="preserve"> PAGEREF _Toc504 \h </w:instrText>
      </w:r>
      <w:r>
        <w:fldChar w:fldCharType="separate"/>
      </w:r>
      <w:r>
        <w:t>19</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_Toc24103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2.4.3社团活动</w:t>
      </w:r>
      <w:r>
        <w:tab/>
      </w:r>
      <w:r>
        <w:fldChar w:fldCharType="begin"/>
      </w:r>
      <w:r>
        <w:instrText xml:space="preserve"> PAGEREF _Toc24103 \h </w:instrText>
      </w:r>
      <w:r>
        <w:fldChar w:fldCharType="separate"/>
      </w:r>
      <w:r>
        <w:t>21</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_Toc4131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2.5职业发展</w:t>
      </w:r>
      <w:r>
        <w:tab/>
      </w:r>
      <w:r>
        <w:fldChar w:fldCharType="begin"/>
      </w:r>
      <w:r>
        <w:instrText xml:space="preserve"> PAGEREF _Toc4131 \h </w:instrText>
      </w:r>
      <w:r>
        <w:fldChar w:fldCharType="separate"/>
      </w:r>
      <w:r>
        <w:t>22</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_Toc12741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3.教育教学改革</w:t>
      </w:r>
      <w:r>
        <w:tab/>
      </w:r>
      <w:r>
        <w:fldChar w:fldCharType="begin"/>
      </w:r>
      <w:r>
        <w:instrText xml:space="preserve"> PAGEREF _Toc12741 \h </w:instrText>
      </w:r>
      <w:r>
        <w:fldChar w:fldCharType="separate"/>
      </w:r>
      <w:r>
        <w:t>23</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_Toc17553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3.1教学改革</w:t>
      </w:r>
      <w:r>
        <w:tab/>
      </w:r>
      <w:r>
        <w:fldChar w:fldCharType="begin"/>
      </w:r>
      <w:r>
        <w:instrText xml:space="preserve"> PAGEREF _Toc17553 \h </w:instrText>
      </w:r>
      <w:r>
        <w:fldChar w:fldCharType="separate"/>
      </w:r>
      <w:r>
        <w:t>23</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_Toc2503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3.1.1 专业课程设置情况</w:t>
      </w:r>
      <w:r>
        <w:tab/>
      </w:r>
      <w:r>
        <w:fldChar w:fldCharType="begin"/>
      </w:r>
      <w:r>
        <w:instrText xml:space="preserve"> PAGEREF _Toc2503 \h </w:instrText>
      </w:r>
      <w:r>
        <w:fldChar w:fldCharType="separate"/>
      </w:r>
      <w:r>
        <w:t>23</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_Toc21316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3.1.2 公共基础课开设情况</w:t>
      </w:r>
      <w:r>
        <w:tab/>
      </w:r>
      <w:r>
        <w:fldChar w:fldCharType="begin"/>
      </w:r>
      <w:r>
        <w:instrText xml:space="preserve"> PAGEREF _Toc21316 \h </w:instrText>
      </w:r>
      <w:r>
        <w:fldChar w:fldCharType="separate"/>
      </w:r>
      <w:r>
        <w:t>24</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_Toc13733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3.1.3 人才培养模式改革</w:t>
      </w:r>
      <w:r>
        <w:tab/>
      </w:r>
      <w:r>
        <w:fldChar w:fldCharType="begin"/>
      </w:r>
      <w:r>
        <w:instrText xml:space="preserve"> PAGEREF _Toc13733 \h </w:instrText>
      </w:r>
      <w:r>
        <w:fldChar w:fldCharType="separate"/>
      </w:r>
      <w:r>
        <w:t>24</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_Toc29540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3.1.4 学校特色改革措施</w:t>
      </w:r>
      <w:r>
        <w:tab/>
      </w:r>
      <w:r>
        <w:fldChar w:fldCharType="begin"/>
      </w:r>
      <w:r>
        <w:instrText xml:space="preserve"> PAGEREF _Toc29540 \h </w:instrText>
      </w:r>
      <w:r>
        <w:fldChar w:fldCharType="separate"/>
      </w:r>
      <w:r>
        <w:t>25</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_Toc26416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3.1.5 中国特色现代学徒制实施</w:t>
      </w:r>
      <w:r>
        <w:tab/>
      </w:r>
      <w:r>
        <w:fldChar w:fldCharType="begin"/>
      </w:r>
      <w:r>
        <w:instrText xml:space="preserve"> PAGEREF _Toc26416 \h </w:instrText>
      </w:r>
      <w:r>
        <w:fldChar w:fldCharType="separate"/>
      </w:r>
      <w:r>
        <w:t>25</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_Toc12713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3.1.6“1+X”证书制度试点探索与实践</w:t>
      </w:r>
      <w:r>
        <w:tab/>
      </w:r>
      <w:r>
        <w:fldChar w:fldCharType="begin"/>
      </w:r>
      <w:r>
        <w:instrText xml:space="preserve"> PAGEREF _Toc12713 \h </w:instrText>
      </w:r>
      <w:r>
        <w:fldChar w:fldCharType="separate"/>
      </w:r>
      <w:r>
        <w:t>25</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_Toc6616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3.2教材建设</w:t>
      </w:r>
      <w:r>
        <w:tab/>
      </w:r>
      <w:r>
        <w:fldChar w:fldCharType="begin"/>
      </w:r>
      <w:r>
        <w:instrText xml:space="preserve"> PAGEREF _Toc6616 \h </w:instrText>
      </w:r>
      <w:r>
        <w:fldChar w:fldCharType="separate"/>
      </w:r>
      <w:r>
        <w:t>26</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_Toc7915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3.3高素质“双师型”师资队伍建设</w:t>
      </w:r>
      <w:r>
        <w:tab/>
      </w:r>
      <w:r>
        <w:fldChar w:fldCharType="begin"/>
      </w:r>
      <w:r>
        <w:instrText xml:space="preserve"> PAGEREF _Toc7915 \h </w:instrText>
      </w:r>
      <w:r>
        <w:fldChar w:fldCharType="separate"/>
      </w:r>
      <w:r>
        <w:t>26</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_Toc22911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uk-UA" w:bidi="ar-SA"/>
        </w:rPr>
        <w:t>3.3</w:t>
      </w:r>
      <w:r>
        <w:rPr>
          <w:rFonts w:hint="eastAsia" w:ascii="仿宋_GB2312" w:hAnsi="Times New Roman" w:eastAsia="仿宋_GB2312" w:cs="Times New Roman"/>
          <w:bCs/>
          <w:kern w:val="2"/>
          <w:szCs w:val="28"/>
          <w:lang w:val="en-US" w:eastAsia="zh-CN" w:bidi="ar-SA"/>
        </w:rPr>
        <w:t>.1培训</w:t>
      </w:r>
      <w:r>
        <w:tab/>
      </w:r>
      <w:r>
        <w:fldChar w:fldCharType="begin"/>
      </w:r>
      <w:r>
        <w:instrText xml:space="preserve"> PAGEREF _Toc22911 \h </w:instrText>
      </w:r>
      <w:r>
        <w:fldChar w:fldCharType="separate"/>
      </w:r>
      <w:r>
        <w:t>26</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_Toc1100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uk-UA" w:bidi="ar-SA"/>
        </w:rPr>
        <w:t>3.3.2企业实践锻炼</w:t>
      </w:r>
      <w:r>
        <w:tab/>
      </w:r>
      <w:r>
        <w:fldChar w:fldCharType="begin"/>
      </w:r>
      <w:r>
        <w:instrText xml:space="preserve"> PAGEREF _Toc1100 \h </w:instrText>
      </w:r>
      <w:r>
        <w:fldChar w:fldCharType="separate"/>
      </w:r>
      <w:r>
        <w:t>27</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_Toc3194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uk-UA" w:bidi="ar-SA"/>
        </w:rPr>
        <w:t>3.3.3教学能力大赛</w:t>
      </w:r>
      <w:r>
        <w:tab/>
      </w:r>
      <w:r>
        <w:fldChar w:fldCharType="begin"/>
      </w:r>
      <w:r>
        <w:instrText xml:space="preserve"> PAGEREF _Toc3194 \h </w:instrText>
      </w:r>
      <w:r>
        <w:fldChar w:fldCharType="separate"/>
      </w:r>
      <w:r>
        <w:t>28</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_Toc20891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uk-UA" w:bidi="ar-SA"/>
        </w:rPr>
        <w:t>3.3.4兼职教队伍建设</w:t>
      </w:r>
      <w:r>
        <w:tab/>
      </w:r>
      <w:r>
        <w:fldChar w:fldCharType="begin"/>
      </w:r>
      <w:r>
        <w:instrText xml:space="preserve"> PAGEREF _Toc20891 \h </w:instrText>
      </w:r>
      <w:r>
        <w:fldChar w:fldCharType="separate"/>
      </w:r>
      <w:r>
        <w:t>28</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_Toc17130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uk-UA" w:bidi="ar-SA"/>
        </w:rPr>
        <w:t>3.4 校企合作</w:t>
      </w:r>
      <w:r>
        <w:tab/>
      </w:r>
      <w:r>
        <w:fldChar w:fldCharType="begin"/>
      </w:r>
      <w:r>
        <w:instrText xml:space="preserve"> PAGEREF _Toc17130 \h </w:instrText>
      </w:r>
      <w:r>
        <w:fldChar w:fldCharType="separate"/>
      </w:r>
      <w:r>
        <w:t>28</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_Toc24539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uk-UA" w:bidi="ar-SA"/>
        </w:rPr>
        <w:t>3.5 实习实训</w:t>
      </w:r>
      <w:r>
        <w:tab/>
      </w:r>
      <w:r>
        <w:fldChar w:fldCharType="begin"/>
      </w:r>
      <w:r>
        <w:instrText xml:space="preserve"> PAGEREF _Toc24539 \h </w:instrText>
      </w:r>
      <w:r>
        <w:fldChar w:fldCharType="separate"/>
      </w:r>
      <w:r>
        <w:t>31</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_Toc23961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uk-UA" w:bidi="ar-SA"/>
        </w:rPr>
        <w:t>3.6 信息化建设</w:t>
      </w:r>
      <w:r>
        <w:tab/>
      </w:r>
      <w:r>
        <w:fldChar w:fldCharType="begin"/>
      </w:r>
      <w:r>
        <w:instrText xml:space="preserve"> PAGEREF _Toc23961 \h </w:instrText>
      </w:r>
      <w:r>
        <w:fldChar w:fldCharType="separate"/>
      </w:r>
      <w:r>
        <w:t>31</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_Toc12577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uk-UA" w:bidi="ar-SA"/>
        </w:rPr>
        <w:t>4.政策保障</w:t>
      </w:r>
      <w:r>
        <w:tab/>
      </w:r>
      <w:r>
        <w:fldChar w:fldCharType="begin"/>
      </w:r>
      <w:r>
        <w:instrText xml:space="preserve"> PAGEREF _Toc12577 \h </w:instrText>
      </w:r>
      <w:r>
        <w:fldChar w:fldCharType="separate"/>
      </w:r>
      <w:r>
        <w:t>33</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_Toc12535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uk-UA" w:bidi="ar-SA"/>
        </w:rPr>
        <w:t>4.1 政府支持</w:t>
      </w:r>
      <w:r>
        <w:tab/>
      </w:r>
      <w:r>
        <w:fldChar w:fldCharType="begin"/>
      </w:r>
      <w:r>
        <w:instrText xml:space="preserve"> PAGEREF _Toc12535 \h </w:instrText>
      </w:r>
      <w:r>
        <w:fldChar w:fldCharType="separate"/>
      </w:r>
      <w:r>
        <w:t>33</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_Toc24599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uk-UA" w:bidi="ar-SA"/>
        </w:rPr>
        <w:t>4.</w:t>
      </w:r>
      <w:r>
        <w:rPr>
          <w:rFonts w:hint="eastAsia" w:ascii="仿宋_GB2312" w:hAnsi="Times New Roman" w:eastAsia="仿宋_GB2312" w:cs="Times New Roman"/>
          <w:bCs/>
          <w:kern w:val="2"/>
          <w:szCs w:val="28"/>
          <w:lang w:val="en-US" w:eastAsia="zh-CN" w:bidi="ar-SA"/>
        </w:rPr>
        <w:t>2</w:t>
      </w:r>
      <w:r>
        <w:rPr>
          <w:rFonts w:hint="eastAsia" w:ascii="仿宋_GB2312" w:hAnsi="Times New Roman" w:eastAsia="仿宋_GB2312" w:cs="Times New Roman"/>
          <w:bCs/>
          <w:kern w:val="2"/>
          <w:szCs w:val="28"/>
          <w:lang w:val="en-US" w:eastAsia="uk-UA" w:bidi="ar-SA"/>
        </w:rPr>
        <w:t>制度保障</w:t>
      </w:r>
      <w:r>
        <w:tab/>
      </w:r>
      <w:r>
        <w:fldChar w:fldCharType="begin"/>
      </w:r>
      <w:r>
        <w:instrText xml:space="preserve"> PAGEREF _Toc24599 \h </w:instrText>
      </w:r>
      <w:r>
        <w:fldChar w:fldCharType="separate"/>
      </w:r>
      <w:r>
        <w:t>33</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_Toc11518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uk-UA" w:bidi="ar-SA"/>
        </w:rPr>
        <w:t>4.</w:t>
      </w:r>
      <w:r>
        <w:rPr>
          <w:rFonts w:hint="eastAsia" w:ascii="仿宋_GB2312" w:hAnsi="Times New Roman" w:eastAsia="仿宋_GB2312" w:cs="Times New Roman"/>
          <w:bCs/>
          <w:kern w:val="2"/>
          <w:szCs w:val="28"/>
          <w:lang w:val="en-US" w:eastAsia="zh-CN" w:bidi="ar-SA"/>
        </w:rPr>
        <w:t>3</w:t>
      </w:r>
      <w:r>
        <w:rPr>
          <w:rFonts w:hint="eastAsia" w:ascii="仿宋_GB2312" w:hAnsi="Times New Roman" w:eastAsia="仿宋_GB2312" w:cs="Times New Roman"/>
          <w:bCs/>
          <w:kern w:val="2"/>
          <w:szCs w:val="28"/>
          <w:lang w:val="en-US" w:eastAsia="uk-UA" w:bidi="ar-SA"/>
        </w:rPr>
        <w:t xml:space="preserve"> 内部质量保障体系建设</w:t>
      </w:r>
      <w:r>
        <w:tab/>
      </w:r>
      <w:r>
        <w:fldChar w:fldCharType="begin"/>
      </w:r>
      <w:r>
        <w:instrText xml:space="preserve"> PAGEREF _Toc11518 \h </w:instrText>
      </w:r>
      <w:r>
        <w:fldChar w:fldCharType="separate"/>
      </w:r>
      <w:r>
        <w:t>35</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_Toc17643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uk-UA" w:bidi="ar-SA"/>
        </w:rPr>
        <w:t>4.</w:t>
      </w:r>
      <w:r>
        <w:rPr>
          <w:rFonts w:hint="eastAsia" w:ascii="仿宋_GB2312" w:hAnsi="Times New Roman" w:eastAsia="仿宋_GB2312" w:cs="Times New Roman"/>
          <w:bCs/>
          <w:kern w:val="2"/>
          <w:szCs w:val="28"/>
          <w:lang w:val="en-US" w:eastAsia="zh-CN" w:bidi="ar-SA"/>
        </w:rPr>
        <w:t>3</w:t>
      </w:r>
      <w:r>
        <w:rPr>
          <w:rFonts w:hint="eastAsia" w:ascii="仿宋_GB2312" w:hAnsi="Times New Roman" w:eastAsia="仿宋_GB2312" w:cs="Times New Roman"/>
          <w:bCs/>
          <w:kern w:val="2"/>
          <w:szCs w:val="28"/>
          <w:lang w:val="en-US" w:eastAsia="uk-UA" w:bidi="ar-SA"/>
        </w:rPr>
        <w:t>.1教学保障体系</w:t>
      </w:r>
      <w:r>
        <w:tab/>
      </w:r>
      <w:r>
        <w:fldChar w:fldCharType="begin"/>
      </w:r>
      <w:r>
        <w:instrText xml:space="preserve"> PAGEREF _Toc17643 \h </w:instrText>
      </w:r>
      <w:r>
        <w:fldChar w:fldCharType="separate"/>
      </w:r>
      <w:r>
        <w:t>35</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_Toc6381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uk-UA" w:bidi="ar-SA"/>
        </w:rPr>
        <w:t>4.</w:t>
      </w:r>
      <w:r>
        <w:rPr>
          <w:rFonts w:hint="eastAsia" w:ascii="仿宋_GB2312" w:hAnsi="Times New Roman" w:eastAsia="仿宋_GB2312" w:cs="Times New Roman"/>
          <w:bCs/>
          <w:kern w:val="2"/>
          <w:szCs w:val="28"/>
          <w:lang w:val="en-US" w:eastAsia="zh-CN" w:bidi="ar-SA"/>
        </w:rPr>
        <w:t>3</w:t>
      </w:r>
      <w:r>
        <w:rPr>
          <w:rFonts w:hint="eastAsia" w:ascii="仿宋_GB2312" w:hAnsi="Times New Roman" w:eastAsia="仿宋_GB2312" w:cs="Times New Roman"/>
          <w:bCs/>
          <w:kern w:val="2"/>
          <w:szCs w:val="28"/>
          <w:lang w:val="en-US" w:eastAsia="uk-UA" w:bidi="ar-SA"/>
        </w:rPr>
        <w:t>.2学生管理保障体系</w:t>
      </w:r>
      <w:r>
        <w:tab/>
      </w:r>
      <w:r>
        <w:fldChar w:fldCharType="begin"/>
      </w:r>
      <w:r>
        <w:instrText xml:space="preserve"> PAGEREF _Toc6381 \h </w:instrText>
      </w:r>
      <w:r>
        <w:fldChar w:fldCharType="separate"/>
      </w:r>
      <w:r>
        <w:t>35</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_Toc17018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uk-UA" w:bidi="ar-SA"/>
        </w:rPr>
        <w:t>4.</w:t>
      </w:r>
      <w:r>
        <w:rPr>
          <w:rFonts w:hint="eastAsia" w:ascii="仿宋_GB2312" w:hAnsi="Times New Roman" w:eastAsia="仿宋_GB2312" w:cs="Times New Roman"/>
          <w:bCs/>
          <w:kern w:val="2"/>
          <w:szCs w:val="28"/>
          <w:lang w:val="en-US" w:eastAsia="zh-CN" w:bidi="ar-SA"/>
        </w:rPr>
        <w:t>3</w:t>
      </w:r>
      <w:r>
        <w:rPr>
          <w:rFonts w:hint="eastAsia" w:ascii="仿宋_GB2312" w:hAnsi="Times New Roman" w:eastAsia="仿宋_GB2312" w:cs="Times New Roman"/>
          <w:bCs/>
          <w:kern w:val="2"/>
          <w:szCs w:val="28"/>
          <w:lang w:val="en-US" w:eastAsia="uk-UA" w:bidi="ar-SA"/>
        </w:rPr>
        <w:t>.3后勤管理保障体系</w:t>
      </w:r>
      <w:r>
        <w:tab/>
      </w:r>
      <w:r>
        <w:fldChar w:fldCharType="begin"/>
      </w:r>
      <w:r>
        <w:instrText xml:space="preserve"> PAGEREF _Toc17018 \h </w:instrText>
      </w:r>
      <w:r>
        <w:fldChar w:fldCharType="separate"/>
      </w:r>
      <w:r>
        <w:t>36</w:t>
      </w:r>
      <w:r>
        <w:fldChar w:fldCharType="end"/>
      </w:r>
      <w:r>
        <w:rPr>
          <w:rFonts w:ascii="仿宋_GB2312" w:hAnsi="仿宋_GB2312" w:eastAsia="仿宋_GB2312" w:cs="仿宋_GB2312"/>
          <w:szCs w:val="40"/>
        </w:rPr>
        <w:fldChar w:fldCharType="end"/>
      </w:r>
    </w:p>
    <w:p>
      <w:pPr>
        <w:pStyle w:val="7"/>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_Toc10825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uk-UA" w:bidi="ar-SA"/>
        </w:rPr>
        <w:t>4.</w:t>
      </w:r>
      <w:r>
        <w:rPr>
          <w:rFonts w:hint="eastAsia" w:ascii="仿宋_GB2312" w:hAnsi="Times New Roman" w:eastAsia="仿宋_GB2312" w:cs="Times New Roman"/>
          <w:bCs/>
          <w:kern w:val="2"/>
          <w:szCs w:val="28"/>
          <w:lang w:val="en-US" w:eastAsia="zh-CN" w:bidi="ar-SA"/>
        </w:rPr>
        <w:t>3</w:t>
      </w:r>
      <w:r>
        <w:rPr>
          <w:rFonts w:hint="eastAsia" w:ascii="仿宋_GB2312" w:hAnsi="Times New Roman" w:eastAsia="仿宋_GB2312" w:cs="Times New Roman"/>
          <w:bCs/>
          <w:kern w:val="2"/>
          <w:szCs w:val="28"/>
          <w:lang w:val="en-US" w:eastAsia="uk-UA" w:bidi="ar-SA"/>
        </w:rPr>
        <w:t>.4安全管理保障体系</w:t>
      </w:r>
      <w:r>
        <w:tab/>
      </w:r>
      <w:r>
        <w:fldChar w:fldCharType="begin"/>
      </w:r>
      <w:r>
        <w:instrText xml:space="preserve"> PAGEREF _Toc10825 \h </w:instrText>
      </w:r>
      <w:r>
        <w:fldChar w:fldCharType="separate"/>
      </w:r>
      <w:r>
        <w:t>37</w:t>
      </w:r>
      <w:r>
        <w:fldChar w:fldCharType="end"/>
      </w:r>
      <w:r>
        <w:rPr>
          <w:rFonts w:ascii="仿宋_GB2312" w:hAnsi="仿宋_GB2312" w:eastAsia="仿宋_GB2312" w:cs="仿宋_GB2312"/>
          <w:szCs w:val="40"/>
        </w:rPr>
        <w:fldChar w:fldCharType="end"/>
      </w:r>
    </w:p>
    <w:p>
      <w:pPr>
        <w:pStyle w:val="7"/>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_Toc1514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uk-UA" w:bidi="ar-SA"/>
        </w:rPr>
        <w:t>4.</w:t>
      </w:r>
      <w:r>
        <w:rPr>
          <w:rFonts w:hint="eastAsia" w:ascii="仿宋_GB2312" w:hAnsi="Times New Roman" w:eastAsia="仿宋_GB2312" w:cs="Times New Roman"/>
          <w:bCs/>
          <w:kern w:val="2"/>
          <w:szCs w:val="28"/>
          <w:lang w:val="en-US" w:eastAsia="zh-CN" w:bidi="ar-SA"/>
        </w:rPr>
        <w:t>3</w:t>
      </w:r>
      <w:r>
        <w:rPr>
          <w:rFonts w:hint="eastAsia" w:ascii="仿宋_GB2312" w:hAnsi="Times New Roman" w:eastAsia="仿宋_GB2312" w:cs="Times New Roman"/>
          <w:bCs/>
          <w:kern w:val="2"/>
          <w:szCs w:val="28"/>
          <w:lang w:val="en-US" w:eastAsia="uk-UA" w:bidi="ar-SA"/>
        </w:rPr>
        <w:t>.5科研管理保障体系</w:t>
      </w:r>
      <w:r>
        <w:tab/>
      </w:r>
      <w:r>
        <w:fldChar w:fldCharType="begin"/>
      </w:r>
      <w:r>
        <w:instrText xml:space="preserve"> PAGEREF _Toc1514 \h </w:instrText>
      </w:r>
      <w:r>
        <w:fldChar w:fldCharType="separate"/>
      </w:r>
      <w:r>
        <w:t>46</w:t>
      </w:r>
      <w:r>
        <w:fldChar w:fldCharType="end"/>
      </w:r>
      <w:r>
        <w:rPr>
          <w:rFonts w:ascii="仿宋_GB2312" w:hAnsi="仿宋_GB2312" w:eastAsia="仿宋_GB2312" w:cs="仿宋_GB2312"/>
          <w:szCs w:val="40"/>
        </w:rPr>
        <w:fldChar w:fldCharType="end"/>
      </w:r>
    </w:p>
    <w:p>
      <w:pPr>
        <w:pStyle w:val="7"/>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_Toc14472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4.3.6党建工作保障体系</w:t>
      </w:r>
      <w:r>
        <w:tab/>
      </w:r>
      <w:r>
        <w:fldChar w:fldCharType="begin"/>
      </w:r>
      <w:r>
        <w:instrText xml:space="preserve"> PAGEREF _Toc14472 \h </w:instrText>
      </w:r>
      <w:r>
        <w:fldChar w:fldCharType="separate"/>
      </w:r>
      <w:r>
        <w:t>48</w:t>
      </w:r>
      <w:r>
        <w:fldChar w:fldCharType="end"/>
      </w:r>
      <w:r>
        <w:rPr>
          <w:rFonts w:ascii="仿宋_GB2312" w:hAnsi="仿宋_GB2312" w:eastAsia="仿宋_GB2312" w:cs="仿宋_GB2312"/>
          <w:szCs w:val="40"/>
        </w:rPr>
        <w:fldChar w:fldCharType="end"/>
      </w:r>
    </w:p>
    <w:p>
      <w:pPr>
        <w:pStyle w:val="7"/>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_Toc5148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4.4 经费保障</w:t>
      </w:r>
      <w:r>
        <w:tab/>
      </w:r>
      <w:r>
        <w:fldChar w:fldCharType="begin"/>
      </w:r>
      <w:r>
        <w:instrText xml:space="preserve"> PAGEREF _Toc5148 \h </w:instrText>
      </w:r>
      <w:r>
        <w:fldChar w:fldCharType="separate"/>
      </w:r>
      <w:r>
        <w:t>61</w:t>
      </w:r>
      <w:r>
        <w:fldChar w:fldCharType="end"/>
      </w:r>
      <w:r>
        <w:rPr>
          <w:rFonts w:ascii="仿宋_GB2312" w:hAnsi="仿宋_GB2312" w:eastAsia="仿宋_GB2312" w:cs="仿宋_GB2312"/>
          <w:szCs w:val="40"/>
        </w:rPr>
        <w:fldChar w:fldCharType="end"/>
      </w:r>
    </w:p>
    <w:p>
      <w:pPr>
        <w:pStyle w:val="7"/>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_Toc6980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4.5 学生资助</w:t>
      </w:r>
      <w:r>
        <w:tab/>
      </w:r>
      <w:r>
        <w:fldChar w:fldCharType="begin"/>
      </w:r>
      <w:r>
        <w:instrText xml:space="preserve"> PAGEREF _Toc6980 \h </w:instrText>
      </w:r>
      <w:r>
        <w:fldChar w:fldCharType="separate"/>
      </w:r>
      <w:r>
        <w:t>61</w:t>
      </w:r>
      <w:r>
        <w:fldChar w:fldCharType="end"/>
      </w:r>
      <w:r>
        <w:rPr>
          <w:rFonts w:ascii="仿宋_GB2312" w:hAnsi="仿宋_GB2312" w:eastAsia="仿宋_GB2312" w:cs="仿宋_GB2312"/>
          <w:szCs w:val="40"/>
        </w:rPr>
        <w:fldChar w:fldCharType="end"/>
      </w:r>
    </w:p>
    <w:p>
      <w:pPr>
        <w:pStyle w:val="7"/>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_Toc7062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5 .服务贡献</w:t>
      </w:r>
      <w:r>
        <w:tab/>
      </w:r>
      <w:r>
        <w:fldChar w:fldCharType="begin"/>
      </w:r>
      <w:r>
        <w:instrText xml:space="preserve"> PAGEREF _Toc7062 \h </w:instrText>
      </w:r>
      <w:r>
        <w:fldChar w:fldCharType="separate"/>
      </w:r>
      <w:r>
        <w:t>65</w:t>
      </w:r>
      <w:r>
        <w:fldChar w:fldCharType="end"/>
      </w:r>
      <w:r>
        <w:rPr>
          <w:rFonts w:ascii="仿宋_GB2312" w:hAnsi="仿宋_GB2312" w:eastAsia="仿宋_GB2312" w:cs="仿宋_GB2312"/>
          <w:szCs w:val="40"/>
        </w:rPr>
        <w:fldChar w:fldCharType="end"/>
      </w:r>
    </w:p>
    <w:p>
      <w:pPr>
        <w:pStyle w:val="7"/>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_Toc28401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5.1 促进产教融合，实现校企双元育人</w:t>
      </w:r>
      <w:r>
        <w:tab/>
      </w:r>
      <w:r>
        <w:fldChar w:fldCharType="begin"/>
      </w:r>
      <w:r>
        <w:instrText xml:space="preserve"> PAGEREF _Toc28401 \h </w:instrText>
      </w:r>
      <w:r>
        <w:fldChar w:fldCharType="separate"/>
      </w:r>
      <w:r>
        <w:t>65</w:t>
      </w:r>
      <w:r>
        <w:fldChar w:fldCharType="end"/>
      </w:r>
      <w:r>
        <w:rPr>
          <w:rFonts w:ascii="仿宋_GB2312" w:hAnsi="仿宋_GB2312" w:eastAsia="仿宋_GB2312" w:cs="仿宋_GB2312"/>
          <w:szCs w:val="40"/>
        </w:rPr>
        <w:fldChar w:fldCharType="end"/>
      </w:r>
    </w:p>
    <w:p>
      <w:pPr>
        <w:pStyle w:val="7"/>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_Toc30423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5.2 开展高质量培训与技术服务</w:t>
      </w:r>
      <w:r>
        <w:tab/>
      </w:r>
      <w:r>
        <w:fldChar w:fldCharType="begin"/>
      </w:r>
      <w:r>
        <w:instrText xml:space="preserve"> PAGEREF _Toc30423 \h </w:instrText>
      </w:r>
      <w:r>
        <w:fldChar w:fldCharType="separate"/>
      </w:r>
      <w:r>
        <w:t>66</w:t>
      </w:r>
      <w:r>
        <w:fldChar w:fldCharType="end"/>
      </w:r>
      <w:r>
        <w:rPr>
          <w:rFonts w:ascii="仿宋_GB2312" w:hAnsi="仿宋_GB2312" w:eastAsia="仿宋_GB2312" w:cs="仿宋_GB2312"/>
          <w:szCs w:val="40"/>
        </w:rPr>
        <w:fldChar w:fldCharType="end"/>
      </w:r>
    </w:p>
    <w:p>
      <w:pPr>
        <w:pStyle w:val="7"/>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_Toc7281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5.2.1培训服务</w:t>
      </w:r>
      <w:r>
        <w:tab/>
      </w:r>
      <w:r>
        <w:fldChar w:fldCharType="begin"/>
      </w:r>
      <w:r>
        <w:instrText xml:space="preserve"> PAGEREF _Toc7281 \h </w:instrText>
      </w:r>
      <w:r>
        <w:fldChar w:fldCharType="separate"/>
      </w:r>
      <w:r>
        <w:t>66</w:t>
      </w:r>
      <w:r>
        <w:fldChar w:fldCharType="end"/>
      </w:r>
      <w:r>
        <w:rPr>
          <w:rFonts w:ascii="仿宋_GB2312" w:hAnsi="仿宋_GB2312" w:eastAsia="仿宋_GB2312" w:cs="仿宋_GB2312"/>
          <w:szCs w:val="40"/>
        </w:rPr>
        <w:fldChar w:fldCharType="end"/>
      </w:r>
    </w:p>
    <w:p>
      <w:pPr>
        <w:pStyle w:val="7"/>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_Toc27187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5.2.2 技术服务</w:t>
      </w:r>
      <w:r>
        <w:tab/>
      </w:r>
      <w:r>
        <w:fldChar w:fldCharType="begin"/>
      </w:r>
      <w:r>
        <w:instrText xml:space="preserve"> PAGEREF _Toc27187 \h </w:instrText>
      </w:r>
      <w:r>
        <w:fldChar w:fldCharType="separate"/>
      </w:r>
      <w:r>
        <w:t>66</w:t>
      </w:r>
      <w:r>
        <w:fldChar w:fldCharType="end"/>
      </w:r>
      <w:r>
        <w:rPr>
          <w:rFonts w:ascii="仿宋_GB2312" w:hAnsi="仿宋_GB2312" w:eastAsia="仿宋_GB2312" w:cs="仿宋_GB2312"/>
          <w:szCs w:val="40"/>
        </w:rPr>
        <w:fldChar w:fldCharType="end"/>
      </w:r>
    </w:p>
    <w:p>
      <w:pPr>
        <w:pStyle w:val="7"/>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_Toc8685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5.3 人人持证，技能社会</w:t>
      </w:r>
      <w:r>
        <w:tab/>
      </w:r>
      <w:r>
        <w:fldChar w:fldCharType="begin"/>
      </w:r>
      <w:r>
        <w:instrText xml:space="preserve"> PAGEREF _Toc8685 \h </w:instrText>
      </w:r>
      <w:r>
        <w:fldChar w:fldCharType="separate"/>
      </w:r>
      <w:r>
        <w:t>67</w:t>
      </w:r>
      <w:r>
        <w:fldChar w:fldCharType="end"/>
      </w:r>
      <w:r>
        <w:rPr>
          <w:rFonts w:ascii="仿宋_GB2312" w:hAnsi="仿宋_GB2312" w:eastAsia="仿宋_GB2312" w:cs="仿宋_GB2312"/>
          <w:szCs w:val="40"/>
        </w:rPr>
        <w:fldChar w:fldCharType="end"/>
      </w:r>
    </w:p>
    <w:p>
      <w:pPr>
        <w:pStyle w:val="7"/>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_Toc16809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5.4 多策并举，精准帮扶</w:t>
      </w:r>
      <w:r>
        <w:tab/>
      </w:r>
      <w:r>
        <w:fldChar w:fldCharType="begin"/>
      </w:r>
      <w:r>
        <w:instrText xml:space="preserve"> PAGEREF _Toc16809 \h </w:instrText>
      </w:r>
      <w:r>
        <w:fldChar w:fldCharType="separate"/>
      </w:r>
      <w:r>
        <w:t>67</w:t>
      </w:r>
      <w:r>
        <w:fldChar w:fldCharType="end"/>
      </w:r>
      <w:r>
        <w:rPr>
          <w:rFonts w:ascii="仿宋_GB2312" w:hAnsi="仿宋_GB2312" w:eastAsia="仿宋_GB2312" w:cs="仿宋_GB2312"/>
          <w:szCs w:val="40"/>
        </w:rPr>
        <w:fldChar w:fldCharType="end"/>
      </w:r>
    </w:p>
    <w:p>
      <w:pPr>
        <w:pStyle w:val="7"/>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_Toc20453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5.4.1 强化帮扶团队</w:t>
      </w:r>
      <w:r>
        <w:tab/>
      </w:r>
      <w:r>
        <w:fldChar w:fldCharType="begin"/>
      </w:r>
      <w:r>
        <w:instrText xml:space="preserve"> PAGEREF _Toc20453 \h </w:instrText>
      </w:r>
      <w:r>
        <w:fldChar w:fldCharType="separate"/>
      </w:r>
      <w:r>
        <w:t>67</w:t>
      </w:r>
      <w:r>
        <w:fldChar w:fldCharType="end"/>
      </w:r>
      <w:r>
        <w:rPr>
          <w:rFonts w:ascii="仿宋_GB2312" w:hAnsi="仿宋_GB2312" w:eastAsia="仿宋_GB2312" w:cs="仿宋_GB2312"/>
          <w:szCs w:val="40"/>
        </w:rPr>
        <w:fldChar w:fldCharType="end"/>
      </w:r>
    </w:p>
    <w:p>
      <w:pPr>
        <w:pStyle w:val="7"/>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_Toc22099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5.4.2 进村入户解决实际问题</w:t>
      </w:r>
      <w:r>
        <w:tab/>
      </w:r>
      <w:r>
        <w:fldChar w:fldCharType="begin"/>
      </w:r>
      <w:r>
        <w:instrText xml:space="preserve"> PAGEREF _Toc22099 \h </w:instrText>
      </w:r>
      <w:r>
        <w:fldChar w:fldCharType="separate"/>
      </w:r>
      <w:r>
        <w:t>69</w:t>
      </w:r>
      <w:r>
        <w:fldChar w:fldCharType="end"/>
      </w:r>
      <w:r>
        <w:rPr>
          <w:rFonts w:ascii="仿宋_GB2312" w:hAnsi="仿宋_GB2312" w:eastAsia="仿宋_GB2312" w:cs="仿宋_GB2312"/>
          <w:szCs w:val="40"/>
        </w:rPr>
        <w:fldChar w:fldCharType="end"/>
      </w:r>
    </w:p>
    <w:p>
      <w:pPr>
        <w:pStyle w:val="7"/>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_Toc853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5.4.3.帮扶成效显著</w:t>
      </w:r>
      <w:r>
        <w:tab/>
      </w:r>
      <w:r>
        <w:fldChar w:fldCharType="begin"/>
      </w:r>
      <w:r>
        <w:instrText xml:space="preserve"> PAGEREF _Toc853 \h </w:instrText>
      </w:r>
      <w:r>
        <w:fldChar w:fldCharType="separate"/>
      </w:r>
      <w:r>
        <w:t>70</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_Toc91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 xml:space="preserve">6. </w:t>
      </w:r>
      <w:r>
        <w:rPr>
          <w:rFonts w:hint="eastAsia" w:ascii="仿宋_GB2312" w:hAnsi="Times New Roman" w:eastAsia="仿宋_GB2312" w:cs="Times New Roman"/>
          <w:bCs/>
          <w:kern w:val="2"/>
          <w:szCs w:val="28"/>
          <w:lang w:val="en-US" w:eastAsia="uk-UA" w:bidi="ar-SA"/>
        </w:rPr>
        <w:t>特色创新</w:t>
      </w:r>
      <w:r>
        <w:tab/>
      </w:r>
      <w:r>
        <w:fldChar w:fldCharType="begin"/>
      </w:r>
      <w:r>
        <w:instrText xml:space="preserve"> PAGEREF _Toc91 \h </w:instrText>
      </w:r>
      <w:r>
        <w:fldChar w:fldCharType="separate"/>
      </w:r>
      <w:r>
        <w:t>72</w:t>
      </w:r>
      <w:r>
        <w:fldChar w:fldCharType="end"/>
      </w:r>
      <w:r>
        <w:rPr>
          <w:rFonts w:ascii="仿宋_GB2312" w:hAnsi="仿宋_GB2312" w:eastAsia="仿宋_GB2312" w:cs="仿宋_GB2312"/>
          <w:szCs w:val="40"/>
        </w:rPr>
        <w:fldChar w:fldCharType="end"/>
      </w:r>
    </w:p>
    <w:p>
      <w:pPr>
        <w:pStyle w:val="12"/>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_Toc28249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6</w:t>
      </w:r>
      <w:r>
        <w:rPr>
          <w:rFonts w:hint="eastAsia" w:ascii="仿宋_GB2312" w:hAnsi="Times New Roman" w:eastAsia="仿宋_GB2312" w:cs="Times New Roman"/>
          <w:bCs/>
          <w:kern w:val="2"/>
          <w:szCs w:val="28"/>
          <w:lang w:val="en-US" w:eastAsia="uk-UA" w:bidi="ar-SA"/>
        </w:rPr>
        <w:t>.1实施背景</w:t>
      </w:r>
      <w:r>
        <w:tab/>
      </w:r>
      <w:r>
        <w:fldChar w:fldCharType="begin"/>
      </w:r>
      <w:r>
        <w:instrText xml:space="preserve"> PAGEREF _Toc28249 \h </w:instrText>
      </w:r>
      <w:r>
        <w:fldChar w:fldCharType="separate"/>
      </w:r>
      <w:r>
        <w:t>72</w:t>
      </w:r>
      <w:r>
        <w:fldChar w:fldCharType="end"/>
      </w:r>
      <w:r>
        <w:rPr>
          <w:rFonts w:ascii="仿宋_GB2312" w:hAnsi="仿宋_GB2312" w:eastAsia="仿宋_GB2312" w:cs="仿宋_GB2312"/>
          <w:szCs w:val="40"/>
        </w:rPr>
        <w:fldChar w:fldCharType="end"/>
      </w:r>
    </w:p>
    <w:p>
      <w:pPr>
        <w:pStyle w:val="12"/>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_Toc24989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6</w:t>
      </w:r>
      <w:r>
        <w:rPr>
          <w:rFonts w:hint="eastAsia" w:ascii="仿宋_GB2312" w:hAnsi="Times New Roman" w:eastAsia="仿宋_GB2312" w:cs="Times New Roman"/>
          <w:bCs/>
          <w:kern w:val="2"/>
          <w:szCs w:val="28"/>
          <w:lang w:val="en-US" w:eastAsia="uk-UA" w:bidi="ar-SA"/>
        </w:rPr>
        <w:t>.2主要目标</w:t>
      </w:r>
      <w:r>
        <w:tab/>
      </w:r>
      <w:r>
        <w:fldChar w:fldCharType="begin"/>
      </w:r>
      <w:r>
        <w:instrText xml:space="preserve"> PAGEREF _Toc24989 \h </w:instrText>
      </w:r>
      <w:r>
        <w:fldChar w:fldCharType="separate"/>
      </w:r>
      <w:r>
        <w:t>73</w:t>
      </w:r>
      <w:r>
        <w:fldChar w:fldCharType="end"/>
      </w:r>
      <w:r>
        <w:rPr>
          <w:rFonts w:ascii="仿宋_GB2312" w:hAnsi="仿宋_GB2312" w:eastAsia="仿宋_GB2312" w:cs="仿宋_GB2312"/>
          <w:szCs w:val="40"/>
        </w:rPr>
        <w:fldChar w:fldCharType="end"/>
      </w:r>
    </w:p>
    <w:p>
      <w:pPr>
        <w:pStyle w:val="12"/>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_Toc19142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6</w:t>
      </w:r>
      <w:r>
        <w:rPr>
          <w:rFonts w:hint="eastAsia" w:ascii="仿宋_GB2312" w:hAnsi="Times New Roman" w:eastAsia="仿宋_GB2312" w:cs="Times New Roman"/>
          <w:bCs/>
          <w:kern w:val="2"/>
          <w:szCs w:val="28"/>
          <w:lang w:val="en-US" w:eastAsia="uk-UA" w:bidi="ar-SA"/>
        </w:rPr>
        <w:t>.3实施过程</w:t>
      </w:r>
      <w:r>
        <w:tab/>
      </w:r>
      <w:r>
        <w:fldChar w:fldCharType="begin"/>
      </w:r>
      <w:r>
        <w:instrText xml:space="preserve"> PAGEREF _Toc19142 \h </w:instrText>
      </w:r>
      <w:r>
        <w:fldChar w:fldCharType="separate"/>
      </w:r>
      <w:r>
        <w:t>73</w:t>
      </w:r>
      <w:r>
        <w:fldChar w:fldCharType="end"/>
      </w:r>
      <w:r>
        <w:rPr>
          <w:rFonts w:ascii="仿宋_GB2312" w:hAnsi="仿宋_GB2312" w:eastAsia="仿宋_GB2312" w:cs="仿宋_GB2312"/>
          <w:szCs w:val="40"/>
        </w:rPr>
        <w:fldChar w:fldCharType="end"/>
      </w:r>
    </w:p>
    <w:p>
      <w:pPr>
        <w:pStyle w:val="12"/>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_Toc5728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6</w:t>
      </w:r>
      <w:r>
        <w:rPr>
          <w:rFonts w:hint="eastAsia" w:ascii="仿宋_GB2312" w:hAnsi="Times New Roman" w:eastAsia="仿宋_GB2312" w:cs="Times New Roman"/>
          <w:bCs/>
          <w:kern w:val="2"/>
          <w:szCs w:val="28"/>
          <w:lang w:val="en-US" w:eastAsia="uk-UA" w:bidi="ar-SA"/>
        </w:rPr>
        <w:t>.4竞赛成绩显著，社会效应好</w:t>
      </w:r>
      <w:r>
        <w:tab/>
      </w:r>
      <w:r>
        <w:fldChar w:fldCharType="begin"/>
      </w:r>
      <w:r>
        <w:instrText xml:space="preserve"> PAGEREF _Toc5728 \h </w:instrText>
      </w:r>
      <w:r>
        <w:fldChar w:fldCharType="separate"/>
      </w:r>
      <w:r>
        <w:t>74</w:t>
      </w:r>
      <w:r>
        <w:fldChar w:fldCharType="end"/>
      </w:r>
      <w:r>
        <w:rPr>
          <w:rFonts w:ascii="仿宋_GB2312" w:hAnsi="仿宋_GB2312" w:eastAsia="仿宋_GB2312" w:cs="仿宋_GB2312"/>
          <w:szCs w:val="40"/>
        </w:rPr>
        <w:fldChar w:fldCharType="end"/>
      </w:r>
    </w:p>
    <w:p>
      <w:pPr>
        <w:pStyle w:val="11"/>
        <w:tabs>
          <w:tab w:val="right" w:leader="dot" w:pos="8306"/>
          <w:tab w:val="clear" w:pos="8296"/>
        </w:tabs>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_Toc28287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7.</w:t>
      </w:r>
      <w:r>
        <w:rPr>
          <w:rFonts w:hint="eastAsia" w:ascii="仿宋_GB2312" w:hAnsi="Times New Roman" w:eastAsia="仿宋_GB2312" w:cs="Times New Roman"/>
          <w:bCs/>
          <w:kern w:val="2"/>
          <w:szCs w:val="28"/>
          <w:lang w:val="en-US" w:eastAsia="uk-UA" w:bidi="ar-SA"/>
        </w:rPr>
        <w:t>面临挑战</w:t>
      </w:r>
      <w:r>
        <w:tab/>
      </w:r>
      <w:r>
        <w:fldChar w:fldCharType="begin"/>
      </w:r>
      <w:r>
        <w:instrText xml:space="preserve"> PAGEREF _Toc28287 \h </w:instrText>
      </w:r>
      <w:r>
        <w:fldChar w:fldCharType="separate"/>
      </w:r>
      <w:r>
        <w:t>75</w:t>
      </w:r>
      <w:r>
        <w:fldChar w:fldCharType="end"/>
      </w:r>
      <w:r>
        <w:rPr>
          <w:rFonts w:ascii="仿宋_GB2312" w:hAnsi="仿宋_GB2312" w:eastAsia="仿宋_GB2312" w:cs="仿宋_GB2312"/>
          <w:szCs w:val="40"/>
        </w:rPr>
        <w:fldChar w:fldCharType="end"/>
      </w:r>
    </w:p>
    <w:p>
      <w:pPr>
        <w:pStyle w:val="12"/>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_Toc1228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7</w:t>
      </w:r>
      <w:r>
        <w:rPr>
          <w:rFonts w:hint="eastAsia" w:ascii="仿宋_GB2312" w:hAnsi="Times New Roman" w:eastAsia="仿宋_GB2312" w:cs="Times New Roman"/>
          <w:bCs/>
          <w:kern w:val="2"/>
          <w:szCs w:val="28"/>
          <w:lang w:val="en-US" w:eastAsia="uk-UA" w:bidi="ar-SA"/>
        </w:rPr>
        <w:t>.1 发展机遇</w:t>
      </w:r>
      <w:r>
        <w:tab/>
      </w:r>
      <w:r>
        <w:fldChar w:fldCharType="begin"/>
      </w:r>
      <w:r>
        <w:instrText xml:space="preserve"> PAGEREF _Toc1228 \h </w:instrText>
      </w:r>
      <w:r>
        <w:fldChar w:fldCharType="separate"/>
      </w:r>
      <w:r>
        <w:t>75</w:t>
      </w:r>
      <w:r>
        <w:fldChar w:fldCharType="end"/>
      </w:r>
      <w:r>
        <w:rPr>
          <w:rFonts w:ascii="仿宋_GB2312" w:hAnsi="仿宋_GB2312" w:eastAsia="仿宋_GB2312" w:cs="仿宋_GB2312"/>
          <w:szCs w:val="40"/>
        </w:rPr>
        <w:fldChar w:fldCharType="end"/>
      </w:r>
    </w:p>
    <w:p>
      <w:pPr>
        <w:pStyle w:val="12"/>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_Toc14233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7</w:t>
      </w:r>
      <w:r>
        <w:rPr>
          <w:rFonts w:hint="eastAsia" w:ascii="仿宋_GB2312" w:hAnsi="Times New Roman" w:eastAsia="仿宋_GB2312" w:cs="Times New Roman"/>
          <w:bCs/>
          <w:kern w:val="2"/>
          <w:szCs w:val="28"/>
          <w:lang w:val="en-US" w:eastAsia="uk-UA" w:bidi="ar-SA"/>
        </w:rPr>
        <w:t>.2 面临挑战</w:t>
      </w:r>
      <w:r>
        <w:tab/>
      </w:r>
      <w:r>
        <w:fldChar w:fldCharType="begin"/>
      </w:r>
      <w:r>
        <w:instrText xml:space="preserve"> PAGEREF _Toc14233 \h </w:instrText>
      </w:r>
      <w:r>
        <w:fldChar w:fldCharType="separate"/>
      </w:r>
      <w:r>
        <w:t>76</w:t>
      </w:r>
      <w:r>
        <w:fldChar w:fldCharType="end"/>
      </w:r>
      <w:r>
        <w:rPr>
          <w:rFonts w:ascii="仿宋_GB2312" w:hAnsi="仿宋_GB2312" w:eastAsia="仿宋_GB2312" w:cs="仿宋_GB2312"/>
          <w:szCs w:val="40"/>
        </w:rPr>
        <w:fldChar w:fldCharType="end"/>
      </w:r>
    </w:p>
    <w:p>
      <w:pPr>
        <w:pStyle w:val="7"/>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_Toc2304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7</w:t>
      </w:r>
      <w:r>
        <w:rPr>
          <w:rFonts w:hint="eastAsia" w:ascii="仿宋_GB2312" w:hAnsi="Times New Roman" w:eastAsia="仿宋_GB2312" w:cs="Times New Roman"/>
          <w:bCs/>
          <w:kern w:val="2"/>
          <w:szCs w:val="28"/>
          <w:lang w:val="en-US" w:eastAsia="uk-UA" w:bidi="ar-SA"/>
        </w:rPr>
        <w:t>.2.1主要问题</w:t>
      </w:r>
      <w:r>
        <w:tab/>
      </w:r>
      <w:r>
        <w:fldChar w:fldCharType="begin"/>
      </w:r>
      <w:r>
        <w:instrText xml:space="preserve"> PAGEREF _Toc2304 \h </w:instrText>
      </w:r>
      <w:r>
        <w:fldChar w:fldCharType="separate"/>
      </w:r>
      <w:r>
        <w:t>76</w:t>
      </w:r>
      <w:r>
        <w:fldChar w:fldCharType="end"/>
      </w:r>
      <w:r>
        <w:rPr>
          <w:rFonts w:ascii="仿宋_GB2312" w:hAnsi="仿宋_GB2312" w:eastAsia="仿宋_GB2312" w:cs="仿宋_GB2312"/>
          <w:szCs w:val="40"/>
        </w:rPr>
        <w:fldChar w:fldCharType="end"/>
      </w:r>
    </w:p>
    <w:p>
      <w:pPr>
        <w:pStyle w:val="7"/>
        <w:tabs>
          <w:tab w:val="right" w:leader="dot" w:pos="8306"/>
        </w:tabs>
        <w:ind w:left="0" w:leftChars="0" w:firstLine="0" w:firstLineChars="0"/>
      </w:pPr>
      <w:r>
        <w:rPr>
          <w:rFonts w:ascii="仿宋_GB2312" w:hAnsi="仿宋_GB2312" w:eastAsia="仿宋_GB2312" w:cs="仿宋_GB2312"/>
          <w:szCs w:val="40"/>
        </w:rPr>
        <w:fldChar w:fldCharType="begin"/>
      </w:r>
      <w:r>
        <w:rPr>
          <w:rFonts w:ascii="仿宋_GB2312" w:hAnsi="仿宋_GB2312" w:eastAsia="仿宋_GB2312" w:cs="仿宋_GB2312"/>
          <w:szCs w:val="40"/>
        </w:rPr>
        <w:instrText xml:space="preserve"> HYPERLINK \l _Toc13970 </w:instrText>
      </w:r>
      <w:r>
        <w:rPr>
          <w:rFonts w:ascii="仿宋_GB2312" w:hAnsi="仿宋_GB2312" w:eastAsia="仿宋_GB2312" w:cs="仿宋_GB2312"/>
          <w:szCs w:val="40"/>
        </w:rPr>
        <w:fldChar w:fldCharType="separate"/>
      </w:r>
      <w:r>
        <w:rPr>
          <w:rFonts w:hint="eastAsia" w:ascii="仿宋_GB2312" w:hAnsi="Times New Roman" w:eastAsia="仿宋_GB2312" w:cs="Times New Roman"/>
          <w:bCs/>
          <w:kern w:val="2"/>
          <w:szCs w:val="28"/>
          <w:lang w:val="en-US" w:eastAsia="zh-CN" w:bidi="ar-SA"/>
        </w:rPr>
        <w:t>7</w:t>
      </w:r>
      <w:r>
        <w:rPr>
          <w:rFonts w:hint="eastAsia" w:ascii="仿宋_GB2312" w:hAnsi="Times New Roman" w:eastAsia="仿宋_GB2312" w:cs="Times New Roman"/>
          <w:bCs/>
          <w:kern w:val="2"/>
          <w:szCs w:val="28"/>
          <w:lang w:val="en-US" w:eastAsia="uk-UA" w:bidi="ar-SA"/>
        </w:rPr>
        <w:t>.2.2改进措施</w:t>
      </w:r>
      <w:r>
        <w:tab/>
      </w:r>
      <w:r>
        <w:fldChar w:fldCharType="begin"/>
      </w:r>
      <w:r>
        <w:instrText xml:space="preserve"> PAGEREF _Toc13970 \h </w:instrText>
      </w:r>
      <w:r>
        <w:fldChar w:fldCharType="separate"/>
      </w:r>
      <w:r>
        <w:t>76</w:t>
      </w:r>
      <w:r>
        <w:fldChar w:fldCharType="end"/>
      </w:r>
      <w:r>
        <w:rPr>
          <w:rFonts w:ascii="仿宋_GB2312" w:hAnsi="仿宋_GB2312" w:eastAsia="仿宋_GB2312" w:cs="仿宋_GB2312"/>
          <w:szCs w:val="40"/>
        </w:rPr>
        <w:fldChar w:fldCharType="end"/>
      </w:r>
    </w:p>
    <w:p>
      <w:pPr>
        <w:pStyle w:val="26"/>
        <w:ind w:firstLine="723" w:firstLineChars="200"/>
        <w:jc w:val="center"/>
        <w:rPr>
          <w:rFonts w:ascii="仿宋_GB2312" w:hAnsi="仿宋_GB2312" w:eastAsia="仿宋_GB2312" w:cs="仿宋_GB2312"/>
          <w:sz w:val="40"/>
          <w:szCs w:val="40"/>
        </w:rPr>
      </w:pPr>
      <w:r>
        <w:rPr>
          <w:rFonts w:ascii="仿宋_GB2312" w:hAnsi="仿宋_GB2312" w:eastAsia="仿宋_GB2312" w:cs="仿宋_GB2312"/>
          <w:szCs w:val="40"/>
        </w:rPr>
        <w:fldChar w:fldCharType="end"/>
      </w:r>
    </w:p>
    <w:p>
      <w:pPr>
        <w:widowControl/>
        <w:jc w:val="left"/>
        <w:outlineLvl w:val="1"/>
        <w:rPr>
          <w:rFonts w:ascii="仿宋_GB2312" w:hAnsi="仿宋_GB2312" w:eastAsia="仿宋_GB2312" w:cs="仿宋_GB2312"/>
          <w:b/>
          <w:sz w:val="40"/>
          <w:szCs w:val="40"/>
        </w:rPr>
      </w:pPr>
      <w:r>
        <w:rPr>
          <w:rFonts w:ascii="仿宋_GB2312" w:hAnsi="仿宋_GB2312" w:eastAsia="仿宋_GB2312" w:cs="仿宋_GB2312"/>
          <w:sz w:val="40"/>
          <w:szCs w:val="40"/>
        </w:rPr>
        <w:br w:type="page"/>
      </w:r>
    </w:p>
    <w:p>
      <w:pPr>
        <w:pStyle w:val="3"/>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zh-CN" w:bidi="ar-SA"/>
        </w:rPr>
      </w:pPr>
      <w:bookmarkStart w:id="0" w:name="_Toc32512"/>
      <w:bookmarkStart w:id="1" w:name="_Toc17385"/>
      <w:r>
        <w:rPr>
          <w:rFonts w:hint="eastAsia" w:ascii="仿宋_GB2312" w:hAnsi="Times New Roman" w:eastAsia="仿宋_GB2312" w:cs="Times New Roman"/>
          <w:b/>
          <w:bCs/>
          <w:kern w:val="2"/>
          <w:sz w:val="28"/>
          <w:szCs w:val="28"/>
          <w:lang w:val="en-US" w:eastAsia="zh-CN" w:bidi="ar-SA"/>
        </w:rPr>
        <w:t>1.办学基础</w:t>
      </w:r>
      <w:bookmarkEnd w:id="0"/>
      <w:bookmarkEnd w:id="1"/>
    </w:p>
    <w:p>
      <w:pPr>
        <w:pStyle w:val="4"/>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zh-CN" w:bidi="ar-SA"/>
        </w:rPr>
      </w:pPr>
      <w:bookmarkStart w:id="2" w:name="_Toc21332"/>
      <w:bookmarkStart w:id="3" w:name="_Toc24941"/>
      <w:r>
        <w:rPr>
          <w:rFonts w:hint="eastAsia" w:ascii="仿宋_GB2312" w:hAnsi="Times New Roman" w:eastAsia="仿宋_GB2312" w:cs="Times New Roman"/>
          <w:b/>
          <w:bCs/>
          <w:kern w:val="2"/>
          <w:sz w:val="28"/>
          <w:szCs w:val="28"/>
          <w:lang w:val="en-US" w:eastAsia="zh-CN" w:bidi="ar-SA"/>
        </w:rPr>
        <w:t>1.1办学基础</w:t>
      </w:r>
      <w:bookmarkEnd w:id="2"/>
      <w:bookmarkEnd w:id="3"/>
    </w:p>
    <w:p>
      <w:pPr>
        <w:spacing w:line="360" w:lineRule="auto"/>
        <w:ind w:firstLine="560" w:firstLineChars="200"/>
        <w:outlineLvl w:val="9"/>
        <w:rPr>
          <w:rFonts w:hint="eastAsia" w:ascii="仿宋_GB2312" w:hAnsi="Times New Roman" w:eastAsia="仿宋_GB2312"/>
          <w:sz w:val="28"/>
          <w:szCs w:val="28"/>
        </w:rPr>
      </w:pPr>
      <w:r>
        <w:rPr>
          <w:rFonts w:hint="eastAsia" w:ascii="仿宋_GB2312" w:hAnsi="Times New Roman" w:eastAsia="仿宋_GB2312"/>
          <w:sz w:val="28"/>
          <w:szCs w:val="28"/>
        </w:rPr>
        <w:t>大同市体育运动学校是一所</w:t>
      </w:r>
      <w:r>
        <w:rPr>
          <w:rFonts w:hint="eastAsia" w:ascii="仿宋_GB2312" w:hAnsi="Times New Roman" w:eastAsia="仿宋_GB2312"/>
          <w:sz w:val="28"/>
          <w:szCs w:val="28"/>
          <w:lang w:eastAsia="zh-CN"/>
        </w:rPr>
        <w:t>全日制</w:t>
      </w:r>
      <w:r>
        <w:rPr>
          <w:rFonts w:hint="eastAsia" w:ascii="仿宋_GB2312" w:hAnsi="Times New Roman" w:eastAsia="仿宋_GB2312"/>
          <w:sz w:val="28"/>
          <w:szCs w:val="28"/>
        </w:rPr>
        <w:t>中等职业学校，曾荣获国家高水平体育后备人才基地、国家级重点中等职业学校、国家“青少年训练基地”</w:t>
      </w:r>
      <w:r>
        <w:rPr>
          <w:rFonts w:hint="eastAsia" w:ascii="仿宋_GB2312" w:hAnsi="Times New Roman" w:eastAsia="仿宋_GB2312"/>
          <w:sz w:val="28"/>
          <w:szCs w:val="28"/>
          <w:lang w:eastAsia="zh-CN"/>
        </w:rPr>
        <w:t>、</w:t>
      </w:r>
      <w:r>
        <w:rPr>
          <w:rFonts w:hint="eastAsia" w:ascii="仿宋_GB2312" w:hAnsi="Times New Roman" w:eastAsia="仿宋_GB2312"/>
          <w:sz w:val="28"/>
          <w:szCs w:val="28"/>
        </w:rPr>
        <w:t>全国群众体育先进单位、全国篮球高水平后备人才单项基地、山西省文明单位、山西省中等职业教育管理四星级学校等称号。</w:t>
      </w:r>
    </w:p>
    <w:p>
      <w:pPr>
        <w:spacing w:line="360" w:lineRule="auto"/>
        <w:ind w:firstLine="560" w:firstLineChars="200"/>
        <w:outlineLvl w:val="9"/>
        <w:rPr>
          <w:rFonts w:hint="eastAsia" w:ascii="仿宋_GB2312" w:hAnsi="Times New Roman" w:eastAsia="仿宋_GB2312"/>
          <w:sz w:val="28"/>
          <w:szCs w:val="28"/>
        </w:rPr>
      </w:pPr>
      <w:r>
        <w:rPr>
          <w:rFonts w:hint="eastAsia" w:ascii="仿宋_GB2312" w:hAnsi="Times New Roman" w:eastAsia="仿宋_GB2312"/>
          <w:sz w:val="28"/>
          <w:szCs w:val="28"/>
        </w:rPr>
        <w:t>大同市体育运动学校</w:t>
      </w:r>
      <w:r>
        <w:rPr>
          <w:rFonts w:hint="eastAsia" w:ascii="仿宋_GB2312" w:hAnsi="Times New Roman" w:eastAsia="仿宋_GB2312"/>
          <w:sz w:val="28"/>
          <w:szCs w:val="28"/>
          <w:lang w:eastAsia="zh-CN"/>
        </w:rPr>
        <w:t>创立于</w:t>
      </w:r>
      <w:r>
        <w:rPr>
          <w:rFonts w:hint="eastAsia" w:ascii="仿宋_GB2312" w:hAnsi="Times New Roman" w:eastAsia="仿宋_GB2312"/>
          <w:sz w:val="28"/>
          <w:szCs w:val="28"/>
          <w:lang w:val="en-US" w:eastAsia="zh-CN"/>
        </w:rPr>
        <w:t>1983年的</w:t>
      </w:r>
      <w:r>
        <w:rPr>
          <w:rFonts w:hint="eastAsia" w:ascii="仿宋_GB2312" w:hAnsi="Times New Roman" w:eastAsia="仿宋_GB2312"/>
          <w:sz w:val="28"/>
          <w:szCs w:val="28"/>
          <w:lang w:val="zh-CN" w:eastAsia="zh-CN"/>
        </w:rPr>
        <w:t>山西省体育运动学校大同教学班，</w:t>
      </w:r>
      <w:r>
        <w:rPr>
          <w:rFonts w:hint="eastAsia" w:ascii="仿宋_GB2312" w:hAnsi="Times New Roman" w:eastAsia="仿宋_GB2312"/>
          <w:sz w:val="28"/>
          <w:szCs w:val="28"/>
        </w:rPr>
        <w:t>1992年经山西省人民政府批准</w:t>
      </w:r>
      <w:r>
        <w:rPr>
          <w:rFonts w:hint="eastAsia" w:ascii="仿宋_GB2312" w:hAnsi="Times New Roman" w:eastAsia="仿宋_GB2312"/>
          <w:sz w:val="28"/>
          <w:szCs w:val="28"/>
          <w:lang w:eastAsia="zh-CN"/>
        </w:rPr>
        <w:t>成立为</w:t>
      </w:r>
      <w:r>
        <w:rPr>
          <w:rFonts w:hint="eastAsia" w:ascii="仿宋_GB2312" w:hAnsi="Times New Roman" w:eastAsia="仿宋_GB2312"/>
          <w:sz w:val="28"/>
          <w:szCs w:val="28"/>
        </w:rPr>
        <w:t>大同市体育运动学校</w:t>
      </w:r>
      <w:r>
        <w:rPr>
          <w:rFonts w:hint="eastAsia" w:ascii="仿宋_GB2312" w:hAnsi="Times New Roman" w:eastAsia="仿宋_GB2312"/>
          <w:sz w:val="28"/>
          <w:szCs w:val="28"/>
          <w:lang w:eastAsia="zh-CN"/>
        </w:rPr>
        <w:t>，</w:t>
      </w:r>
      <w:r>
        <w:rPr>
          <w:rFonts w:hint="eastAsia" w:ascii="仿宋_GB2312" w:hAnsi="Times New Roman" w:eastAsia="仿宋_GB2312"/>
          <w:sz w:val="28"/>
          <w:szCs w:val="28"/>
          <w:lang w:val="en-US" w:eastAsia="zh-CN"/>
        </w:rPr>
        <w:t>2018年政府投入3亿多元建成新校址并搬迁入驻。</w:t>
      </w:r>
      <w:r>
        <w:rPr>
          <w:rFonts w:hint="eastAsia" w:ascii="仿宋_GB2312" w:hAnsi="Times New Roman" w:eastAsia="仿宋_GB2312"/>
          <w:sz w:val="28"/>
          <w:szCs w:val="28"/>
        </w:rPr>
        <w:t>学校始终遵循“为国家培养输送高水平体育后备人才，为社会培养合格的体育专业人才”的办学宗旨，坚持“体教融合、对口培养、读训并重、全面发展”的办学方针，秉承“团结拼搏，勤奋创新”的校训，积极推进职业教育教学改革和运动训练创新，形成了鲜明的办学特色。</w:t>
      </w:r>
    </w:p>
    <w:p>
      <w:pPr>
        <w:spacing w:line="360" w:lineRule="auto"/>
        <w:ind w:firstLine="560" w:firstLineChars="200"/>
        <w:outlineLvl w:val="9"/>
        <w:rPr>
          <w:rFonts w:ascii="仿宋" w:hAnsi="仿宋" w:eastAsia="仿宋" w:cs="仿宋"/>
          <w:color w:val="0070C0"/>
          <w:sz w:val="28"/>
          <w:szCs w:val="28"/>
        </w:rPr>
      </w:pPr>
      <w:r>
        <w:rPr>
          <w:rFonts w:hint="eastAsia" w:ascii="仿宋_GB2312" w:hAnsi="Times New Roman" w:eastAsia="仿宋_GB2312"/>
          <w:sz w:val="28"/>
          <w:szCs w:val="28"/>
        </w:rPr>
        <w:t>大同市体育运动学校作为大同竞技体育培养和输送竞技体育后备人才的中枢环节，上承各运动项目中心，下接各区县业余体校。学校按照“立足省运会，着眼奥运会，服务全运会，打好青运会，为山西省和国家输送高水平竞技体育人才”的战略目标，累计向国家队、“八一”队、山西省体工队，各大专院校输送了830多名优秀运动人才，多次荣获国家、省、市的各项奖励并被记功。为国家培养和输送出奥运会冠军董栋、奥运会亚军常永祥、方玉婷、世锦赛冠军裴星茹、世界杯冠军唐皓等一大批优秀竞技体育人才。</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1"/>
        <w:rPr>
          <w:rFonts w:hint="eastAsia" w:ascii="仿宋_GB2312" w:hAnsi="Times New Roman" w:eastAsia="仿宋_GB2312" w:cs="Times New Roman"/>
          <w:b/>
          <w:bCs/>
          <w:kern w:val="2"/>
          <w:sz w:val="28"/>
          <w:szCs w:val="28"/>
          <w:lang w:val="en-US" w:eastAsia="zh-CN" w:bidi="ar-SA"/>
        </w:rPr>
      </w:pPr>
      <w:bookmarkStart w:id="4" w:name="_Toc16202"/>
      <w:bookmarkStart w:id="5" w:name="_Toc20349"/>
      <w:r>
        <w:rPr>
          <w:rFonts w:hint="eastAsia" w:ascii="仿宋_GB2312" w:hAnsi="Times New Roman" w:eastAsia="仿宋_GB2312" w:cs="Times New Roman"/>
          <w:b/>
          <w:bCs/>
          <w:kern w:val="2"/>
          <w:sz w:val="28"/>
          <w:szCs w:val="28"/>
          <w:lang w:val="en-US" w:eastAsia="zh-CN" w:bidi="ar-SA"/>
        </w:rPr>
        <w:t>1.2办学规模</w:t>
      </w:r>
      <w:bookmarkEnd w:id="4"/>
      <w:bookmarkEnd w:id="5"/>
    </w:p>
    <w:p>
      <w:pPr>
        <w:spacing w:line="360" w:lineRule="auto"/>
        <w:ind w:firstLine="560" w:firstLineChars="200"/>
        <w:rPr>
          <w:rFonts w:hint="eastAsia" w:ascii="仿宋_GB2312" w:hAnsi="Times New Roman" w:eastAsia="仿宋_GB2312"/>
          <w:sz w:val="28"/>
          <w:szCs w:val="28"/>
        </w:rPr>
      </w:pPr>
      <w:r>
        <w:rPr>
          <w:rFonts w:hint="eastAsia" w:ascii="仿宋_GB2312" w:hAnsi="Times New Roman" w:eastAsia="仿宋_GB2312"/>
          <w:sz w:val="28"/>
          <w:szCs w:val="28"/>
        </w:rPr>
        <w:t>学校位于景色宜人的文瀛湖畔，占地面积111260平方米，</w:t>
      </w:r>
      <w:r>
        <w:rPr>
          <w:rFonts w:hint="eastAsia" w:ascii="仿宋_GB2312" w:hAnsi="Times New Roman" w:eastAsia="仿宋_GB2312"/>
          <w:sz w:val="28"/>
          <w:szCs w:val="28"/>
          <w:lang w:eastAsia="zh-CN"/>
        </w:rPr>
        <w:t>生均校园占地面积</w:t>
      </w:r>
      <w:r>
        <w:rPr>
          <w:rFonts w:hint="eastAsia" w:ascii="仿宋_GB2312" w:hAnsi="Times New Roman" w:eastAsia="仿宋_GB2312"/>
          <w:sz w:val="28"/>
          <w:szCs w:val="28"/>
          <w:lang w:val="en-US" w:eastAsia="zh-CN"/>
        </w:rPr>
        <w:t>153平方米，</w:t>
      </w:r>
      <w:r>
        <w:rPr>
          <w:rFonts w:hint="eastAsia" w:ascii="仿宋_GB2312" w:hAnsi="Times New Roman" w:eastAsia="仿宋_GB2312"/>
          <w:sz w:val="28"/>
          <w:szCs w:val="28"/>
        </w:rPr>
        <w:t>建筑面积45234平方米</w:t>
      </w:r>
      <w:r>
        <w:rPr>
          <w:rFonts w:hint="eastAsia" w:ascii="仿宋_GB2312" w:hAnsi="Times New Roman" w:eastAsia="仿宋_GB2312"/>
          <w:sz w:val="28"/>
          <w:szCs w:val="28"/>
          <w:lang w:eastAsia="zh-CN"/>
        </w:rPr>
        <w:t>。</w:t>
      </w:r>
      <w:r>
        <w:rPr>
          <w:rFonts w:hint="eastAsia" w:ascii="仿宋_GB2312" w:hAnsi="Times New Roman" w:eastAsia="仿宋_GB2312"/>
          <w:sz w:val="28"/>
          <w:szCs w:val="28"/>
        </w:rPr>
        <w:t>其中，教学楼面积13579平方米，训练馆面积14425平方米，学生宿舍面积13574平方米，师生餐厅面积1998平方米，室外训练场面积41520平方米</w:t>
      </w:r>
      <w:r>
        <w:rPr>
          <w:rFonts w:hint="eastAsia" w:ascii="仿宋_GB2312" w:hAnsi="Times New Roman" w:eastAsia="仿宋_GB2312"/>
          <w:sz w:val="28"/>
          <w:szCs w:val="28"/>
          <w:lang w:eastAsia="zh-CN"/>
        </w:rPr>
        <w:t>，生均校舍建筑面积</w:t>
      </w:r>
      <w:r>
        <w:rPr>
          <w:rFonts w:hint="eastAsia" w:ascii="仿宋_GB2312" w:hAnsi="Times New Roman" w:eastAsia="仿宋_GB2312"/>
          <w:sz w:val="28"/>
          <w:szCs w:val="28"/>
          <w:lang w:val="en-US" w:eastAsia="zh-CN"/>
        </w:rPr>
        <w:t>62平方米，</w:t>
      </w:r>
      <w:r>
        <w:rPr>
          <w:rFonts w:hint="eastAsia" w:ascii="仿宋_GB2312" w:hAnsi="Times New Roman" w:eastAsia="仿宋_GB2312"/>
          <w:sz w:val="28"/>
          <w:szCs w:val="28"/>
        </w:rPr>
        <w:t>绿化面积23810平方米</w:t>
      </w:r>
      <w:r>
        <w:rPr>
          <w:rFonts w:hint="eastAsia" w:ascii="仿宋_GB2312" w:hAnsi="Times New Roman" w:eastAsia="仿宋_GB2312"/>
          <w:sz w:val="28"/>
          <w:szCs w:val="28"/>
          <w:lang w:eastAsia="zh-CN"/>
        </w:rPr>
        <w:t>，</w:t>
      </w:r>
      <w:r>
        <w:rPr>
          <w:rFonts w:hint="eastAsia" w:ascii="仿宋_GB2312" w:hAnsi="Times New Roman" w:eastAsia="仿宋_GB2312"/>
          <w:sz w:val="28"/>
          <w:szCs w:val="28"/>
        </w:rPr>
        <w:t>固定资产2093万元。教学、科研、训练场馆设施一流，生活配套设施齐全。</w:t>
      </w:r>
    </w:p>
    <w:p>
      <w:pPr>
        <w:spacing w:line="360" w:lineRule="auto"/>
        <w:ind w:firstLine="560" w:firstLineChars="200"/>
        <w:rPr>
          <w:rFonts w:ascii="仿宋" w:hAnsi="仿宋" w:eastAsia="仿宋" w:cs="仿宋"/>
          <w:sz w:val="28"/>
          <w:szCs w:val="28"/>
        </w:rPr>
      </w:pPr>
      <w:r>
        <w:rPr>
          <w:rFonts w:hint="eastAsia" w:ascii="仿宋_GB2312" w:hAnsi="Times New Roman" w:eastAsia="仿宋_GB2312"/>
          <w:sz w:val="28"/>
          <w:szCs w:val="28"/>
        </w:rPr>
        <w:t>学校努力完善数字化教学资源，有与教材配套的教学资源和课件、动画、教学视频、教学软件、电子书、试题库等。学校实现了校园网络全覆盖，充分满足师生需求，加上充足的多媒体资料和电化教学等教辅资料，为网络教学资源平台建设提供保障。学校有实训运动场馆15个，实训运动场地10个，为训练提供了有力保障。</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472055" cy="2190750"/>
            <wp:effectExtent l="4445" t="4445" r="19050" b="14605"/>
            <wp:docPr id="55"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Pr>
          <w:rFonts w:hint="eastAsia" w:ascii="仿宋_GB2312" w:hAnsi="仿宋_GB2312" w:eastAsia="仿宋_GB2312" w:cs="仿宋_GB2312"/>
          <w:sz w:val="28"/>
          <w:szCs w:val="28"/>
        </w:rPr>
        <w:drawing>
          <wp:inline distT="0" distB="0" distL="114300" distR="114300">
            <wp:extent cx="2451735" cy="2191385"/>
            <wp:effectExtent l="4445" t="4445" r="20320" b="13970"/>
            <wp:docPr id="56"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rPr>
          <w:rFonts w:ascii="仿宋_GB2312" w:hAnsi="仿宋_GB2312" w:eastAsia="仿宋_GB2312" w:cs="仿宋_GB2312"/>
          <w:sz w:val="28"/>
          <w:szCs w:val="28"/>
        </w:rPr>
      </w:pPr>
      <w:r>
        <w:rPr>
          <w:rFonts w:ascii="仿宋_GB2312"/>
          <w:sz w:val="32"/>
          <w:szCs w:val="32"/>
        </w:rPr>
        <w:t xml:space="preserve"> </w:t>
      </w:r>
      <w:r>
        <w:rPr>
          <w:rFonts w:hint="eastAsia" w:ascii="仿宋_GB2312"/>
          <w:sz w:val="32"/>
          <w:szCs w:val="32"/>
        </w:rPr>
        <w:t xml:space="preserve">    </w:t>
      </w:r>
      <w:r>
        <w:rPr>
          <w:rFonts w:hint="eastAsia" w:ascii="仿宋" w:hAnsi="仿宋" w:eastAsia="仿宋" w:cs="仿宋"/>
          <w:b w:val="0"/>
          <w:bCs w:val="0"/>
          <w:sz w:val="28"/>
          <w:szCs w:val="28"/>
        </w:rPr>
        <w:t xml:space="preserve"> </w:t>
      </w:r>
      <w:r>
        <w:rPr>
          <w:rFonts w:hint="eastAsia" w:ascii="仿宋_GB2312" w:hAnsi="Times New Roman" w:eastAsia="仿宋_GB2312"/>
          <w:b w:val="0"/>
          <w:bCs w:val="0"/>
          <w:sz w:val="28"/>
          <w:szCs w:val="28"/>
        </w:rPr>
        <w:t xml:space="preserve">学校占地面积表          </w:t>
      </w:r>
      <w:r>
        <w:rPr>
          <w:rFonts w:hint="eastAsia" w:ascii="仿宋_GB2312" w:hAnsi="Times New Roman" w:eastAsia="仿宋_GB2312"/>
          <w:b w:val="0"/>
          <w:bCs w:val="0"/>
          <w:sz w:val="28"/>
          <w:szCs w:val="28"/>
          <w:lang w:val="en-US" w:eastAsia="zh-CN"/>
        </w:rPr>
        <w:t xml:space="preserve">    </w:t>
      </w:r>
      <w:r>
        <w:rPr>
          <w:rFonts w:hint="eastAsia" w:ascii="仿宋_GB2312" w:hAnsi="Times New Roman" w:eastAsia="仿宋_GB2312"/>
          <w:b w:val="0"/>
          <w:bCs w:val="0"/>
          <w:sz w:val="28"/>
          <w:szCs w:val="28"/>
        </w:rPr>
        <w:t>学校建筑面积表</w:t>
      </w:r>
    </w:p>
    <w:p>
      <w:pPr>
        <w:rPr>
          <w:rFonts w:ascii="仿宋" w:hAnsi="仿宋" w:eastAsia="仿宋"/>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drawing>
          <wp:inline distT="0" distB="0" distL="114300" distR="114300">
            <wp:extent cx="2484120" cy="1847850"/>
            <wp:effectExtent l="0" t="0" r="11430" b="0"/>
            <wp:docPr id="41" name="图片 41" descr="微信图片_2021111915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11119151849"/>
                    <pic:cNvPicPr>
                      <a:picLocks noChangeAspect="1"/>
                    </pic:cNvPicPr>
                  </pic:nvPicPr>
                  <pic:blipFill>
                    <a:blip r:embed="rId8"/>
                    <a:stretch>
                      <a:fillRect/>
                    </a:stretch>
                  </pic:blipFill>
                  <pic:spPr>
                    <a:xfrm>
                      <a:off x="0" y="0"/>
                      <a:ext cx="2484120" cy="1847850"/>
                    </a:xfrm>
                    <a:prstGeom prst="rect">
                      <a:avLst/>
                    </a:prstGeom>
                  </pic:spPr>
                </pic:pic>
              </a:graphicData>
            </a:graphic>
          </wp:inline>
        </w:drawing>
      </w:r>
      <w:r>
        <w:rPr>
          <w:rFonts w:hint="eastAsia" w:ascii="仿宋_GB2312" w:hAnsi="仿宋_GB2312" w:eastAsia="仿宋_GB2312" w:cs="仿宋_GB2312"/>
          <w:sz w:val="28"/>
          <w:szCs w:val="28"/>
        </w:rPr>
        <w:t xml:space="preserve"> </w:t>
      </w:r>
      <w:r>
        <w:rPr>
          <w:rFonts w:ascii="仿宋" w:hAnsi="仿宋" w:eastAsia="仿宋"/>
          <w:sz w:val="28"/>
          <w:szCs w:val="28"/>
        </w:rPr>
        <w:drawing>
          <wp:inline distT="0" distB="0" distL="114300" distR="114300">
            <wp:extent cx="2489200" cy="1840865"/>
            <wp:effectExtent l="0" t="0" r="6350" b="6985"/>
            <wp:docPr id="52" name="图片 3" descr="347c02966b0dee40354044ea3a7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descr="347c02966b0dee40354044ea3a70578"/>
                    <pic:cNvPicPr>
                      <a:picLocks noChangeAspect="1"/>
                    </pic:cNvPicPr>
                  </pic:nvPicPr>
                  <pic:blipFill>
                    <a:blip r:embed="rId9" cstate="print"/>
                    <a:stretch>
                      <a:fillRect/>
                    </a:stretch>
                  </pic:blipFill>
                  <pic:spPr>
                    <a:xfrm>
                      <a:off x="0" y="0"/>
                      <a:ext cx="2489200" cy="1840865"/>
                    </a:xfrm>
                    <a:prstGeom prst="rect">
                      <a:avLst/>
                    </a:prstGeom>
                  </pic:spPr>
                </pic:pic>
              </a:graphicData>
            </a:graphic>
          </wp:inline>
        </w:drawing>
      </w:r>
    </w:p>
    <w:p>
      <w:pPr>
        <w:rPr>
          <w:rFonts w:hint="eastAsia" w:ascii="仿宋_GB2312" w:hAnsi="Times New Roman" w:eastAsia="仿宋_GB2312"/>
          <w:b w:val="0"/>
          <w:bCs w:val="0"/>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 xml:space="preserve">  </w:t>
      </w:r>
      <w:r>
        <w:rPr>
          <w:rFonts w:hint="eastAsia" w:ascii="仿宋_GB2312" w:hAnsi="Times New Roman" w:eastAsia="仿宋_GB2312"/>
          <w:b w:val="0"/>
          <w:bCs w:val="0"/>
          <w:sz w:val="28"/>
          <w:szCs w:val="28"/>
          <w:lang w:val="en-US" w:eastAsia="zh-CN"/>
        </w:rPr>
        <w:t xml:space="preserve"> </w:t>
      </w:r>
      <w:r>
        <w:rPr>
          <w:rFonts w:hint="eastAsia" w:ascii="仿宋_GB2312" w:hAnsi="Times New Roman" w:eastAsia="仿宋_GB2312"/>
          <w:b w:val="0"/>
          <w:bCs w:val="0"/>
          <w:sz w:val="28"/>
          <w:szCs w:val="28"/>
          <w:lang w:eastAsia="zh-CN"/>
        </w:rPr>
        <w:t>学校正门</w:t>
      </w:r>
      <w:r>
        <w:rPr>
          <w:rFonts w:hint="eastAsia" w:ascii="仿宋_GB2312" w:hAnsi="Times New Roman" w:eastAsia="仿宋_GB2312"/>
          <w:b w:val="0"/>
          <w:bCs w:val="0"/>
          <w:sz w:val="28"/>
          <w:szCs w:val="28"/>
        </w:rPr>
        <w:t xml:space="preserve">                    篮球训练馆</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600960" cy="1737360"/>
            <wp:effectExtent l="0" t="0" r="8890" b="15240"/>
            <wp:docPr id="53" name="图片 82" descr="IMG_20201217_10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2" descr="IMG_20201217_103228"/>
                    <pic:cNvPicPr>
                      <a:picLocks noChangeAspect="1"/>
                    </pic:cNvPicPr>
                  </pic:nvPicPr>
                  <pic:blipFill>
                    <a:blip r:embed="rId10" cstate="print"/>
                    <a:stretch>
                      <a:fillRect/>
                    </a:stretch>
                  </pic:blipFill>
                  <pic:spPr>
                    <a:xfrm>
                      <a:off x="0" y="0"/>
                      <a:ext cx="2600960" cy="173736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drawing>
          <wp:inline distT="0" distB="0" distL="114300" distR="114300">
            <wp:extent cx="2493010" cy="1744345"/>
            <wp:effectExtent l="0" t="0" r="2540" b="8255"/>
            <wp:docPr id="54" name="图片 2" descr="7d06178663305e0550d5b05d1934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descr="7d06178663305e0550d5b05d19342e9"/>
                    <pic:cNvPicPr>
                      <a:picLocks noChangeAspect="1"/>
                    </pic:cNvPicPr>
                  </pic:nvPicPr>
                  <pic:blipFill>
                    <a:blip r:embed="rId11" cstate="print"/>
                    <a:stretch>
                      <a:fillRect/>
                    </a:stretch>
                  </pic:blipFill>
                  <pic:spPr>
                    <a:xfrm>
                      <a:off x="0" y="0"/>
                      <a:ext cx="2493010" cy="1744345"/>
                    </a:xfrm>
                    <a:prstGeom prst="rect">
                      <a:avLst/>
                    </a:prstGeom>
                  </pic:spPr>
                </pic:pic>
              </a:graphicData>
            </a:graphic>
          </wp:inline>
        </w:drawing>
      </w:r>
    </w:p>
    <w:p>
      <w:pPr>
        <w:ind w:firstLine="1400" w:firstLineChars="500"/>
        <w:rPr>
          <w:rFonts w:hint="eastAsia" w:ascii="仿宋_GB2312" w:hAnsi="Times New Roman" w:eastAsia="仿宋_GB2312"/>
          <w:b w:val="0"/>
          <w:bCs w:val="0"/>
          <w:sz w:val="28"/>
          <w:szCs w:val="28"/>
          <w:lang w:val="en-US" w:eastAsia="zh-CN"/>
        </w:rPr>
      </w:pPr>
      <w:bookmarkStart w:id="6" w:name="_Toc87860836"/>
      <w:bookmarkStart w:id="7" w:name="_Toc87861237"/>
      <w:r>
        <w:rPr>
          <w:rFonts w:hint="eastAsia" w:ascii="仿宋_GB2312" w:hAnsi="Times New Roman" w:eastAsia="仿宋_GB2312"/>
          <w:b w:val="0"/>
          <w:bCs w:val="0"/>
          <w:sz w:val="28"/>
          <w:szCs w:val="28"/>
          <w:lang w:val="en-US" w:eastAsia="zh-CN"/>
        </w:rPr>
        <w:t>多媒体教室                      田径场</w:t>
      </w:r>
      <w:bookmarkEnd w:id="6"/>
      <w:bookmarkEnd w:id="7"/>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1"/>
        <w:rPr>
          <w:rFonts w:hint="eastAsia" w:ascii="仿宋_GB2312" w:hAnsi="Times New Roman" w:eastAsia="仿宋_GB2312" w:cs="Times New Roman"/>
          <w:b/>
          <w:bCs/>
          <w:kern w:val="2"/>
          <w:sz w:val="28"/>
          <w:szCs w:val="28"/>
          <w:lang w:val="en-US" w:eastAsia="zh-CN" w:bidi="ar-SA"/>
        </w:rPr>
      </w:pPr>
      <w:bookmarkStart w:id="8" w:name="_Toc15529"/>
      <w:bookmarkStart w:id="9" w:name="_Toc11270"/>
      <w:r>
        <w:rPr>
          <w:rFonts w:hint="eastAsia" w:ascii="仿宋_GB2312" w:hAnsi="Times New Roman" w:eastAsia="仿宋_GB2312" w:cs="Times New Roman"/>
          <w:b/>
          <w:bCs/>
          <w:kern w:val="2"/>
          <w:sz w:val="28"/>
          <w:szCs w:val="28"/>
          <w:lang w:val="en-US" w:eastAsia="zh-CN" w:bidi="ar-SA"/>
        </w:rPr>
        <w:t>1.3专业设置</w:t>
      </w:r>
      <w:bookmarkEnd w:id="8"/>
      <w:bookmarkEnd w:id="9"/>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2"/>
        <w:rPr>
          <w:rFonts w:hint="eastAsia" w:ascii="仿宋_GB2312" w:hAnsi="Times New Roman" w:eastAsia="仿宋_GB2312" w:cs="Times New Roman"/>
          <w:b/>
          <w:bCs/>
          <w:kern w:val="2"/>
          <w:sz w:val="28"/>
          <w:szCs w:val="28"/>
          <w:lang w:val="en-US" w:eastAsia="zh-CN" w:bidi="ar-SA"/>
        </w:rPr>
      </w:pPr>
      <w:bookmarkStart w:id="10" w:name="_Toc4378"/>
      <w:bookmarkStart w:id="11" w:name="_Toc11794"/>
      <w:r>
        <w:rPr>
          <w:rFonts w:hint="eastAsia" w:ascii="仿宋_GB2312" w:hAnsi="Times New Roman" w:eastAsia="仿宋_GB2312" w:cs="Times New Roman"/>
          <w:b/>
          <w:bCs/>
          <w:kern w:val="2"/>
          <w:sz w:val="28"/>
          <w:szCs w:val="28"/>
          <w:lang w:val="en-US" w:eastAsia="zh-CN" w:bidi="ar-SA"/>
        </w:rPr>
        <w:t>1.3.1 专业设置</w:t>
      </w:r>
      <w:bookmarkEnd w:id="10"/>
      <w:bookmarkEnd w:id="11"/>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sz w:val="28"/>
          <w:szCs w:val="28"/>
        </w:rPr>
      </w:pPr>
      <w:r>
        <w:rPr>
          <w:rFonts w:hint="eastAsia" w:ascii="仿宋_GB2312" w:hAnsi="Times New Roman" w:eastAsia="仿宋_GB2312"/>
          <w:sz w:val="28"/>
          <w:szCs w:val="28"/>
        </w:rPr>
        <w:t>大同市体育运动学校是一所全日制中等职业学校，设有运动训练专业，也是学校的特色专业。包括田径、体操、蹦床、</w:t>
      </w:r>
      <w:r>
        <w:rPr>
          <w:rFonts w:hint="eastAsia" w:ascii="仿宋_GB2312" w:hAnsi="Times New Roman" w:eastAsia="仿宋_GB2312"/>
          <w:sz w:val="28"/>
          <w:szCs w:val="28"/>
          <w:lang w:val="en-US" w:eastAsia="zh-CN"/>
        </w:rPr>
        <w:t>艺术体操、</w:t>
      </w:r>
      <w:r>
        <w:rPr>
          <w:rFonts w:hint="eastAsia" w:ascii="仿宋_GB2312" w:hAnsi="Times New Roman" w:eastAsia="仿宋_GB2312"/>
          <w:sz w:val="28"/>
          <w:szCs w:val="28"/>
        </w:rPr>
        <w:t>篮球、足球、乒乓球、摔跤、柔道、射击、举重、跆拳道、</w:t>
      </w:r>
      <w:r>
        <w:rPr>
          <w:rFonts w:hint="eastAsia" w:ascii="仿宋_GB2312" w:hAnsi="Times New Roman" w:eastAsia="仿宋_GB2312"/>
          <w:sz w:val="28"/>
          <w:szCs w:val="28"/>
          <w:lang w:val="en-US" w:eastAsia="zh-CN"/>
        </w:rPr>
        <w:t>空手道、手球、</w:t>
      </w:r>
      <w:r>
        <w:rPr>
          <w:rFonts w:hint="eastAsia" w:ascii="仿宋_GB2312" w:hAnsi="Times New Roman" w:eastAsia="仿宋_GB2312"/>
          <w:sz w:val="28"/>
          <w:szCs w:val="28"/>
        </w:rPr>
        <w:t>拳击等</w:t>
      </w:r>
      <w:r>
        <w:rPr>
          <w:rFonts w:hint="eastAsia" w:ascii="仿宋_GB2312" w:hAnsi="Times New Roman" w:eastAsia="仿宋_GB2312"/>
          <w:sz w:val="28"/>
          <w:szCs w:val="28"/>
          <w:lang w:val="en-US" w:eastAsia="zh-CN"/>
        </w:rPr>
        <w:t>18</w:t>
      </w:r>
      <w:r>
        <w:rPr>
          <w:rFonts w:hint="eastAsia" w:ascii="仿宋_GB2312" w:hAnsi="Times New Roman" w:eastAsia="仿宋_GB2312"/>
          <w:sz w:val="28"/>
          <w:szCs w:val="28"/>
        </w:rPr>
        <w:t>个运动项目。</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2"/>
        <w:rPr>
          <w:rFonts w:hint="eastAsia" w:ascii="仿宋_GB2312" w:hAnsi="Times New Roman" w:eastAsia="仿宋_GB2312" w:cs="Times New Roman"/>
          <w:b/>
          <w:bCs/>
          <w:kern w:val="2"/>
          <w:sz w:val="28"/>
          <w:szCs w:val="28"/>
          <w:lang w:val="en-US" w:eastAsia="zh-CN" w:bidi="ar-SA"/>
        </w:rPr>
      </w:pPr>
      <w:bookmarkStart w:id="12" w:name="_Toc14795"/>
      <w:bookmarkStart w:id="13" w:name="_Toc231"/>
      <w:r>
        <w:rPr>
          <w:rFonts w:hint="eastAsia" w:ascii="仿宋_GB2312" w:hAnsi="Times New Roman" w:eastAsia="仿宋_GB2312" w:cs="Times New Roman"/>
          <w:b/>
          <w:bCs/>
          <w:kern w:val="2"/>
          <w:sz w:val="28"/>
          <w:szCs w:val="28"/>
          <w:lang w:val="en-US" w:eastAsia="zh-CN" w:bidi="ar-SA"/>
        </w:rPr>
        <w:t>1.3.2 专业结构调整</w:t>
      </w:r>
      <w:bookmarkEnd w:id="12"/>
      <w:bookmarkEnd w:id="13"/>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sz w:val="28"/>
          <w:szCs w:val="28"/>
        </w:rPr>
      </w:pPr>
      <w:r>
        <w:rPr>
          <w:rFonts w:hint="eastAsia" w:ascii="仿宋_GB2312" w:hAnsi="Times New Roman" w:eastAsia="仿宋_GB2312"/>
          <w:sz w:val="28"/>
          <w:szCs w:val="28"/>
        </w:rPr>
        <w:t>为培养和输送高水平体育后备人才，提高竞技体育水平，充分展示体育改革成果，积极引导广大青少年参与体育运动，进一步弘扬体育精神，促进我省体育事业的全面发展，根据山西省第十六届运动会项目设置要求，学校积极推进专业结构调整，新增设</w:t>
      </w:r>
      <w:r>
        <w:rPr>
          <w:rFonts w:hint="eastAsia" w:ascii="仿宋_GB2312" w:hAnsi="Times New Roman" w:eastAsia="仿宋_GB2312"/>
          <w:sz w:val="28"/>
          <w:szCs w:val="28"/>
          <w:lang w:val="en-US" w:eastAsia="zh-CN"/>
        </w:rPr>
        <w:t>中国式摔跤</w:t>
      </w:r>
      <w:r>
        <w:rPr>
          <w:rFonts w:hint="eastAsia" w:ascii="仿宋_GB2312" w:hAnsi="Times New Roman" w:eastAsia="仿宋_GB2312"/>
          <w:sz w:val="28"/>
          <w:szCs w:val="28"/>
        </w:rPr>
        <w:t>项目，为促进我省体育事业的全面发展打下坚实基础。</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2"/>
        <w:rPr>
          <w:rFonts w:hint="eastAsia" w:ascii="仿宋_GB2312" w:hAnsi="Times New Roman" w:eastAsia="仿宋_GB2312" w:cs="Times New Roman"/>
          <w:b/>
          <w:bCs/>
          <w:kern w:val="2"/>
          <w:sz w:val="28"/>
          <w:szCs w:val="28"/>
          <w:lang w:val="en-US" w:eastAsia="zh-CN" w:bidi="ar-SA"/>
        </w:rPr>
      </w:pPr>
      <w:bookmarkStart w:id="14" w:name="_Toc23978"/>
      <w:bookmarkStart w:id="15" w:name="_Toc27295"/>
      <w:r>
        <w:rPr>
          <w:rFonts w:hint="eastAsia" w:ascii="仿宋_GB2312" w:hAnsi="Times New Roman" w:eastAsia="仿宋_GB2312" w:cs="Times New Roman"/>
          <w:b/>
          <w:bCs/>
          <w:kern w:val="2"/>
          <w:sz w:val="28"/>
          <w:szCs w:val="28"/>
          <w:lang w:val="en-US" w:eastAsia="zh-CN" w:bidi="ar-SA"/>
        </w:rPr>
        <w:t>1.3.3 人才培养方案调整</w:t>
      </w:r>
      <w:bookmarkEnd w:id="14"/>
      <w:bookmarkEnd w:id="15"/>
      <w:r>
        <w:rPr>
          <w:rFonts w:hint="eastAsia" w:ascii="仿宋_GB2312" w:hAnsi="Times New Roman" w:eastAsia="仿宋_GB2312" w:cs="Times New Roman"/>
          <w:b/>
          <w:bCs/>
          <w:kern w:val="2"/>
          <w:sz w:val="28"/>
          <w:szCs w:val="28"/>
          <w:lang w:val="en-US" w:eastAsia="zh-CN" w:bidi="ar-SA"/>
        </w:rPr>
        <w:t xml:space="preserve">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sz w:val="28"/>
          <w:szCs w:val="28"/>
        </w:rPr>
      </w:pPr>
      <w:r>
        <w:rPr>
          <w:rFonts w:hint="eastAsia" w:ascii="仿宋_GB2312" w:hAnsi="Times New Roman" w:eastAsia="仿宋_GB2312"/>
          <w:sz w:val="28"/>
          <w:szCs w:val="28"/>
        </w:rPr>
        <w:t>我校各运动项目均有独立的人才培养方案，学校还制定了定期调研制度，从竞技体育发展方向、退役运动员就业前景等方面适时调整课程体系，修订人才培养方案，解决毕业生就业前的技能培训和毕业后的就业问题，效果良好。</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2"/>
        <w:rPr>
          <w:rFonts w:hint="eastAsia" w:ascii="仿宋_GB2312" w:hAnsi="Times New Roman" w:eastAsia="仿宋_GB2312" w:cs="Times New Roman"/>
          <w:b/>
          <w:bCs/>
          <w:kern w:val="2"/>
          <w:sz w:val="28"/>
          <w:szCs w:val="28"/>
          <w:lang w:val="en-US" w:eastAsia="zh-CN" w:bidi="ar-SA"/>
        </w:rPr>
      </w:pPr>
      <w:bookmarkStart w:id="16" w:name="_Toc16538"/>
      <w:bookmarkStart w:id="17" w:name="_Toc26382"/>
      <w:r>
        <w:rPr>
          <w:rFonts w:hint="eastAsia" w:ascii="仿宋_GB2312" w:hAnsi="Times New Roman" w:eastAsia="仿宋_GB2312" w:cs="Times New Roman"/>
          <w:b/>
          <w:bCs/>
          <w:kern w:val="2"/>
          <w:sz w:val="28"/>
          <w:szCs w:val="28"/>
          <w:lang w:val="en-US" w:eastAsia="zh-CN" w:bidi="ar-SA"/>
        </w:rPr>
        <w:t>1.3.4 特色专业</w:t>
      </w:r>
      <w:bookmarkEnd w:id="16"/>
      <w:bookmarkEnd w:id="17"/>
      <w:r>
        <w:rPr>
          <w:rFonts w:hint="eastAsia" w:ascii="仿宋_GB2312" w:hAnsi="Times New Roman" w:eastAsia="仿宋_GB2312" w:cs="Times New Roman"/>
          <w:b/>
          <w:bCs/>
          <w:kern w:val="2"/>
          <w:sz w:val="28"/>
          <w:szCs w:val="28"/>
          <w:lang w:val="en-US" w:eastAsia="zh-CN" w:bidi="ar-SA"/>
        </w:rPr>
        <w:t xml:space="preserve">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sz w:val="28"/>
          <w:szCs w:val="28"/>
        </w:rPr>
      </w:pPr>
      <w:r>
        <w:rPr>
          <w:rFonts w:hint="eastAsia" w:ascii="仿宋_GB2312" w:hAnsi="Times New Roman" w:eastAsia="仿宋_GB2312"/>
          <w:sz w:val="28"/>
          <w:szCs w:val="28"/>
        </w:rPr>
        <w:t>蹦床、摔跤、柔道、跆拳道、篮球是我校运动训练专业的优势项目，其中：篮球项目是国家高水平后备人才单项基地，蹦床、摔跤、柔道、跆拳道项目是山西省高水平后备人才单项基地。</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sz w:val="28"/>
          <w:szCs w:val="28"/>
          <w:lang w:val="en-US" w:eastAsia="zh-CN"/>
        </w:rPr>
      </w:pPr>
      <w:r>
        <w:rPr>
          <w:rFonts w:hint="eastAsia" w:ascii="仿宋_GB2312" w:hAnsi="Times New Roman" w:eastAsia="仿宋_GB2312"/>
          <w:sz w:val="28"/>
          <w:szCs w:val="28"/>
        </w:rPr>
        <w:t>202</w:t>
      </w:r>
      <w:r>
        <w:rPr>
          <w:rFonts w:hint="eastAsia" w:ascii="仿宋_GB2312" w:hAnsi="Times New Roman" w:eastAsia="仿宋_GB2312"/>
          <w:sz w:val="28"/>
          <w:szCs w:val="28"/>
          <w:lang w:val="en-US" w:eastAsia="zh-CN"/>
        </w:rPr>
        <w:t>1</w:t>
      </w:r>
      <w:r>
        <w:rPr>
          <w:rFonts w:hint="eastAsia" w:ascii="仿宋_GB2312" w:hAnsi="Times New Roman" w:eastAsia="仿宋_GB2312"/>
          <w:sz w:val="28"/>
          <w:szCs w:val="28"/>
        </w:rPr>
        <w:t>年</w:t>
      </w:r>
      <w:r>
        <w:rPr>
          <w:rFonts w:hint="eastAsia" w:ascii="仿宋_GB2312" w:hAnsi="Times New Roman" w:eastAsia="仿宋_GB2312"/>
          <w:sz w:val="28"/>
          <w:szCs w:val="28"/>
          <w:lang w:val="en-US" w:eastAsia="zh-CN"/>
        </w:rPr>
        <w:t>在东京奥运会上</w:t>
      </w:r>
      <w:r>
        <w:rPr>
          <w:rFonts w:hint="eastAsia" w:ascii="仿宋_GB2312" w:hAnsi="Times New Roman" w:eastAsia="仿宋_GB2312"/>
          <w:sz w:val="28"/>
          <w:szCs w:val="28"/>
        </w:rPr>
        <w:t>跆拳道运动员唐皓</w:t>
      </w:r>
      <w:r>
        <w:rPr>
          <w:rFonts w:hint="eastAsia" w:ascii="仿宋_GB2312" w:hAnsi="Times New Roman" w:eastAsia="仿宋_GB2312"/>
          <w:sz w:val="28"/>
          <w:szCs w:val="28"/>
          <w:lang w:val="en-US" w:eastAsia="zh-CN"/>
        </w:rPr>
        <w:t>获得跆拳道团体赛金牌</w:t>
      </w:r>
      <w:r>
        <w:rPr>
          <w:rFonts w:hint="eastAsia" w:ascii="仿宋_GB2312" w:hAnsi="Times New Roman" w:eastAsia="仿宋_GB2312"/>
          <w:sz w:val="28"/>
          <w:szCs w:val="28"/>
          <w:lang w:eastAsia="zh-CN"/>
        </w:rPr>
        <w:t>，</w:t>
      </w:r>
      <w:r>
        <w:rPr>
          <w:rFonts w:hint="eastAsia" w:ascii="仿宋_GB2312" w:hAnsi="Times New Roman" w:eastAsia="仿宋_GB2312"/>
          <w:sz w:val="28"/>
          <w:szCs w:val="28"/>
        </w:rPr>
        <w:t>蹦床运动员董栋</w:t>
      </w:r>
      <w:r>
        <w:rPr>
          <w:rFonts w:hint="eastAsia" w:ascii="仿宋_GB2312" w:hAnsi="Times New Roman" w:eastAsia="仿宋_GB2312"/>
          <w:sz w:val="28"/>
          <w:szCs w:val="28"/>
          <w:lang w:val="en-US" w:eastAsia="zh-CN"/>
        </w:rPr>
        <w:t>获得个人银牌</w:t>
      </w:r>
      <w:r>
        <w:rPr>
          <w:rFonts w:hint="eastAsia" w:ascii="仿宋_GB2312" w:hAnsi="Times New Roman" w:eastAsia="仿宋_GB2312"/>
          <w:sz w:val="28"/>
          <w:szCs w:val="28"/>
          <w:lang w:eastAsia="zh-CN"/>
        </w:rPr>
        <w:t>。</w:t>
      </w:r>
      <w:r>
        <w:rPr>
          <w:rFonts w:hint="eastAsia" w:ascii="仿宋_GB2312" w:hAnsi="Times New Roman" w:eastAsia="仿宋_GB2312"/>
          <w:sz w:val="28"/>
          <w:szCs w:val="28"/>
          <w:lang w:val="en-US" w:eastAsia="zh-CN"/>
        </w:rPr>
        <w:t>同年，陕西举行的中华人民共和国第十四届全运会比赛，我校运动员王迪获得中国式摔跤比赛56kg金牌，唐皓获得跆拳道78kg银牌，董栋获得蹦床项目个人银牌。男子柔道孟根仓、空手道张晓玲分别获得铜牌。</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1"/>
        <w:rPr>
          <w:rFonts w:hint="eastAsia" w:ascii="仿宋_GB2312" w:hAnsi="Times New Roman" w:eastAsia="仿宋_GB2312" w:cs="Times New Roman"/>
          <w:b/>
          <w:bCs/>
          <w:kern w:val="2"/>
          <w:sz w:val="28"/>
          <w:szCs w:val="28"/>
          <w:lang w:val="en-US" w:eastAsia="zh-CN" w:bidi="ar-SA"/>
        </w:rPr>
      </w:pPr>
      <w:bookmarkStart w:id="18" w:name="_Toc19851"/>
      <w:bookmarkStart w:id="19" w:name="_Toc2484"/>
      <w:r>
        <w:rPr>
          <w:rFonts w:hint="eastAsia" w:ascii="仿宋_GB2312" w:hAnsi="Times New Roman" w:eastAsia="仿宋_GB2312" w:cs="Times New Roman"/>
          <w:b/>
          <w:bCs/>
          <w:kern w:val="2"/>
          <w:sz w:val="28"/>
          <w:szCs w:val="28"/>
          <w:lang w:val="en-US" w:eastAsia="zh-CN" w:bidi="ar-SA"/>
        </w:rPr>
        <w:t>1.4教师队伍</w:t>
      </w:r>
      <w:bookmarkEnd w:id="18"/>
      <w:r>
        <w:rPr>
          <w:rFonts w:hint="eastAsia" w:ascii="仿宋_GB2312" w:hAnsi="Times New Roman" w:eastAsia="仿宋_GB2312" w:cs="Times New Roman"/>
          <w:b/>
          <w:bCs/>
          <w:kern w:val="2"/>
          <w:sz w:val="28"/>
          <w:szCs w:val="28"/>
          <w:lang w:val="en-US" w:eastAsia="zh-CN" w:bidi="ar-SA"/>
        </w:rPr>
        <w:t xml:space="preserve"> </w:t>
      </w:r>
      <w:bookmarkEnd w:id="19"/>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sz w:val="28"/>
          <w:szCs w:val="28"/>
        </w:rPr>
      </w:pPr>
      <w:r>
        <w:rPr>
          <w:rFonts w:hint="eastAsia" w:ascii="仿宋_GB2312" w:hAnsi="Times New Roman" w:eastAsia="仿宋_GB2312"/>
          <w:sz w:val="28"/>
          <w:szCs w:val="28"/>
        </w:rPr>
        <w:t>学校</w:t>
      </w:r>
      <w:r>
        <w:rPr>
          <w:rFonts w:hint="eastAsia" w:ascii="仿宋_GB2312" w:hAnsi="Times New Roman" w:eastAsia="仿宋_GB2312"/>
          <w:sz w:val="28"/>
          <w:szCs w:val="28"/>
          <w:lang w:eastAsia="zh-CN"/>
        </w:rPr>
        <w:t>教职员工额定编制数为</w:t>
      </w:r>
      <w:r>
        <w:rPr>
          <w:rFonts w:hint="eastAsia" w:ascii="仿宋_GB2312" w:hAnsi="Times New Roman" w:eastAsia="仿宋_GB2312"/>
          <w:sz w:val="28"/>
          <w:szCs w:val="28"/>
          <w:lang w:val="en-US" w:eastAsia="zh-CN"/>
        </w:rPr>
        <w:t>102人，实有教职员工总数为115人，</w:t>
      </w:r>
      <w:r>
        <w:rPr>
          <w:rFonts w:hint="eastAsia" w:ascii="仿宋_GB2312" w:hAnsi="Times New Roman" w:eastAsia="仿宋_GB2312"/>
          <w:sz w:val="28"/>
          <w:szCs w:val="28"/>
        </w:rPr>
        <w:t>现有在岗专任教师</w:t>
      </w:r>
      <w:r>
        <w:rPr>
          <w:rFonts w:hint="eastAsia" w:ascii="仿宋_GB2312" w:hAnsi="Times New Roman" w:eastAsia="仿宋_GB2312"/>
          <w:sz w:val="28"/>
          <w:szCs w:val="28"/>
          <w:lang w:val="en-US" w:eastAsia="zh-CN"/>
        </w:rPr>
        <w:t>70</w:t>
      </w:r>
      <w:r>
        <w:rPr>
          <w:rFonts w:hint="eastAsia" w:ascii="仿宋_GB2312" w:hAnsi="Times New Roman" w:eastAsia="仿宋_GB2312"/>
          <w:sz w:val="28"/>
          <w:szCs w:val="28"/>
        </w:rPr>
        <w:t>人，高中及以下学历0人，占专任教师的比例为0%；专科学历0人，占专任教师的比例为0%；本科学历</w:t>
      </w:r>
      <w:r>
        <w:rPr>
          <w:rFonts w:hint="eastAsia" w:ascii="仿宋_GB2312" w:hAnsi="Times New Roman" w:eastAsia="仿宋_GB2312"/>
          <w:sz w:val="28"/>
          <w:szCs w:val="28"/>
          <w:lang w:val="en-US" w:eastAsia="zh-CN"/>
        </w:rPr>
        <w:t>61</w:t>
      </w:r>
      <w:r>
        <w:rPr>
          <w:rFonts w:hint="eastAsia" w:ascii="仿宋_GB2312" w:hAnsi="Times New Roman" w:eastAsia="仿宋_GB2312"/>
          <w:sz w:val="28"/>
          <w:szCs w:val="28"/>
        </w:rPr>
        <w:t>人，占专任教师的比例为</w:t>
      </w:r>
      <w:r>
        <w:rPr>
          <w:rFonts w:hint="eastAsia" w:ascii="仿宋_GB2312" w:hAnsi="Times New Roman" w:eastAsia="仿宋_GB2312"/>
          <w:sz w:val="28"/>
          <w:szCs w:val="28"/>
          <w:lang w:val="en-US" w:eastAsia="zh-CN"/>
        </w:rPr>
        <w:t>87.14</w:t>
      </w:r>
      <w:r>
        <w:rPr>
          <w:rFonts w:hint="eastAsia" w:ascii="仿宋_GB2312" w:hAnsi="Times New Roman" w:eastAsia="仿宋_GB2312"/>
          <w:sz w:val="28"/>
          <w:szCs w:val="28"/>
        </w:rPr>
        <w:t>%；硕士研究生学历</w:t>
      </w:r>
      <w:r>
        <w:rPr>
          <w:rFonts w:hint="eastAsia" w:ascii="仿宋_GB2312" w:hAnsi="Times New Roman" w:eastAsia="仿宋_GB2312"/>
          <w:sz w:val="28"/>
          <w:szCs w:val="28"/>
          <w:lang w:val="en-US" w:eastAsia="zh-CN"/>
        </w:rPr>
        <w:t>9</w:t>
      </w:r>
      <w:r>
        <w:rPr>
          <w:rFonts w:hint="eastAsia" w:ascii="仿宋_GB2312" w:hAnsi="Times New Roman" w:eastAsia="仿宋_GB2312"/>
          <w:sz w:val="28"/>
          <w:szCs w:val="28"/>
        </w:rPr>
        <w:t>人，占专任教师的比例为</w:t>
      </w:r>
      <w:r>
        <w:rPr>
          <w:rFonts w:hint="eastAsia" w:ascii="仿宋_GB2312" w:hAnsi="Times New Roman" w:eastAsia="仿宋_GB2312"/>
          <w:sz w:val="28"/>
          <w:szCs w:val="28"/>
          <w:lang w:val="en-US" w:eastAsia="zh-CN"/>
        </w:rPr>
        <w:t>12.86</w:t>
      </w:r>
      <w:r>
        <w:rPr>
          <w:rFonts w:hint="eastAsia" w:ascii="仿宋_GB2312" w:hAnsi="Times New Roman" w:eastAsia="仿宋_GB2312"/>
          <w:sz w:val="28"/>
          <w:szCs w:val="28"/>
        </w:rPr>
        <w:t>%；博士研究生学历0人，占专任教师的比例为0%。初级职称7人，占专任教师的比例为</w:t>
      </w:r>
      <w:r>
        <w:rPr>
          <w:rFonts w:hint="eastAsia" w:ascii="仿宋_GB2312" w:hAnsi="Times New Roman" w:eastAsia="仿宋_GB2312"/>
          <w:sz w:val="28"/>
          <w:szCs w:val="28"/>
          <w:lang w:val="en-US" w:eastAsia="zh-CN"/>
        </w:rPr>
        <w:t>10</w:t>
      </w:r>
      <w:r>
        <w:rPr>
          <w:rFonts w:hint="eastAsia" w:ascii="仿宋_GB2312" w:hAnsi="Times New Roman" w:eastAsia="仿宋_GB2312"/>
          <w:sz w:val="28"/>
          <w:szCs w:val="28"/>
        </w:rPr>
        <w:t>%。中级职称</w:t>
      </w:r>
      <w:r>
        <w:rPr>
          <w:rFonts w:hint="eastAsia" w:ascii="仿宋_GB2312" w:hAnsi="Times New Roman" w:eastAsia="仿宋_GB2312"/>
          <w:sz w:val="28"/>
          <w:szCs w:val="28"/>
          <w:lang w:val="en-US" w:eastAsia="zh-CN"/>
        </w:rPr>
        <w:t>29</w:t>
      </w:r>
      <w:r>
        <w:rPr>
          <w:rFonts w:hint="eastAsia" w:ascii="仿宋_GB2312" w:hAnsi="Times New Roman" w:eastAsia="仿宋_GB2312"/>
          <w:sz w:val="28"/>
          <w:szCs w:val="28"/>
        </w:rPr>
        <w:t>人，占专任教师的比例为</w:t>
      </w:r>
      <w:r>
        <w:rPr>
          <w:rFonts w:hint="eastAsia" w:ascii="仿宋_GB2312" w:hAnsi="Times New Roman" w:eastAsia="仿宋_GB2312"/>
          <w:sz w:val="28"/>
          <w:szCs w:val="28"/>
          <w:lang w:val="en-US" w:eastAsia="zh-CN"/>
        </w:rPr>
        <w:t>41.43</w:t>
      </w:r>
      <w:r>
        <w:rPr>
          <w:rFonts w:hint="eastAsia" w:ascii="仿宋_GB2312" w:hAnsi="Times New Roman" w:eastAsia="仿宋_GB2312"/>
          <w:sz w:val="28"/>
          <w:szCs w:val="28"/>
        </w:rPr>
        <w:t>%。副高级职称29人，占专任教师的比例为</w:t>
      </w:r>
      <w:r>
        <w:rPr>
          <w:rFonts w:hint="eastAsia" w:ascii="仿宋_GB2312" w:hAnsi="Times New Roman" w:eastAsia="仿宋_GB2312"/>
          <w:sz w:val="28"/>
          <w:szCs w:val="28"/>
          <w:lang w:val="en-US" w:eastAsia="zh-CN"/>
        </w:rPr>
        <w:t>41.43</w:t>
      </w:r>
      <w:r>
        <w:rPr>
          <w:rFonts w:hint="eastAsia" w:ascii="仿宋_GB2312" w:hAnsi="Times New Roman" w:eastAsia="仿宋_GB2312"/>
          <w:sz w:val="28"/>
          <w:szCs w:val="28"/>
        </w:rPr>
        <w:t>%。正高级职称0人，占专任教师的比例为0%。专业课教师37人，“双师型”教师41人，“双师型”教师比例为</w:t>
      </w:r>
      <w:r>
        <w:rPr>
          <w:rFonts w:hint="eastAsia" w:ascii="仿宋_GB2312" w:hAnsi="Times New Roman" w:eastAsia="仿宋_GB2312"/>
          <w:sz w:val="28"/>
          <w:szCs w:val="28"/>
          <w:lang w:val="en-US" w:eastAsia="zh-CN"/>
        </w:rPr>
        <w:t>58.57</w:t>
      </w:r>
      <w:r>
        <w:rPr>
          <w:rFonts w:hint="eastAsia" w:ascii="仿宋_GB2312" w:hAnsi="Times New Roman" w:eastAsia="仿宋_GB2312"/>
          <w:sz w:val="28"/>
          <w:szCs w:val="28"/>
        </w:rPr>
        <w:t>%。兼职教师24人，兼职专业课教师24人。</w:t>
      </w:r>
    </w:p>
    <w:p>
      <w:pPr>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drawing>
          <wp:inline distT="0" distB="0" distL="114300" distR="114300">
            <wp:extent cx="5384165" cy="2388235"/>
            <wp:effectExtent l="4445" t="4445" r="21590" b="7620"/>
            <wp:docPr id="13" name="图表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jc w:val="center"/>
        <w:rPr>
          <w:rFonts w:hint="eastAsia" w:ascii="仿宋_GB2312" w:hAnsi="Times New Roman" w:eastAsia="仿宋_GB2312"/>
          <w:b w:val="0"/>
          <w:bCs w:val="0"/>
          <w:sz w:val="28"/>
          <w:szCs w:val="28"/>
        </w:rPr>
      </w:pPr>
      <w:bookmarkStart w:id="20" w:name="_Toc32752"/>
      <w:r>
        <w:rPr>
          <w:rFonts w:hint="eastAsia" w:ascii="仿宋_GB2312" w:hAnsi="Times New Roman" w:eastAsia="仿宋_GB2312"/>
          <w:b w:val="0"/>
          <w:bCs w:val="0"/>
          <w:sz w:val="28"/>
          <w:szCs w:val="28"/>
        </w:rPr>
        <w:t>教师情况比对图</w:t>
      </w:r>
      <w:bookmarkEnd w:id="20"/>
    </w:p>
    <w:p>
      <w:pPr>
        <w:jc w:val="center"/>
        <w:outlineLvl w:val="9"/>
        <w:rPr>
          <w:rFonts w:ascii="仿宋_GB2312" w:hAnsi="仿宋_GB2312" w:eastAsia="仿宋_GB2312" w:cs="仿宋_GB2312"/>
          <w:color w:val="000000"/>
          <w:sz w:val="28"/>
          <w:szCs w:val="28"/>
        </w:rPr>
      </w:pPr>
      <w:bookmarkStart w:id="21" w:name="_Toc20626"/>
      <w:r>
        <w:rPr>
          <w:rFonts w:hint="eastAsia" w:ascii="仿宋_GB2312" w:hAnsi="仿宋_GB2312" w:eastAsia="仿宋_GB2312" w:cs="仿宋_GB2312"/>
          <w:b/>
          <w:bCs/>
          <w:color w:val="000000"/>
          <w:sz w:val="28"/>
          <w:szCs w:val="28"/>
        </w:rPr>
        <w:t>20</w:t>
      </w:r>
      <w:r>
        <w:rPr>
          <w:rFonts w:hint="eastAsia" w:ascii="仿宋_GB2312" w:hAnsi="仿宋_GB2312" w:eastAsia="仿宋_GB2312" w:cs="仿宋_GB2312"/>
          <w:b/>
          <w:bCs/>
          <w:color w:val="000000"/>
          <w:sz w:val="28"/>
          <w:szCs w:val="28"/>
          <w:lang w:val="en-US" w:eastAsia="zh-CN"/>
        </w:rPr>
        <w:t>20</w:t>
      </w:r>
      <w:r>
        <w:rPr>
          <w:rFonts w:hint="eastAsia" w:ascii="仿宋_GB2312" w:hAnsi="仿宋_GB2312" w:eastAsia="仿宋_GB2312" w:cs="仿宋_GB2312"/>
          <w:b/>
          <w:bCs/>
          <w:color w:val="000000"/>
          <w:sz w:val="28"/>
          <w:szCs w:val="28"/>
        </w:rPr>
        <w:t>年与202</w:t>
      </w:r>
      <w:r>
        <w:rPr>
          <w:rFonts w:hint="eastAsia" w:ascii="仿宋_GB2312" w:hAnsi="仿宋_GB2312" w:eastAsia="仿宋_GB2312" w:cs="仿宋_GB2312"/>
          <w:b/>
          <w:bCs/>
          <w:color w:val="000000"/>
          <w:sz w:val="28"/>
          <w:szCs w:val="28"/>
          <w:lang w:val="en-US" w:eastAsia="zh-CN"/>
        </w:rPr>
        <w:t>1</w:t>
      </w:r>
      <w:r>
        <w:rPr>
          <w:rFonts w:hint="eastAsia" w:ascii="仿宋_GB2312" w:hAnsi="仿宋_GB2312" w:eastAsia="仿宋_GB2312" w:cs="仿宋_GB2312"/>
          <w:b/>
          <w:bCs/>
          <w:color w:val="000000"/>
          <w:sz w:val="28"/>
          <w:szCs w:val="28"/>
        </w:rPr>
        <w:t>年教师结构比例统计表</w:t>
      </w:r>
      <w:bookmarkEnd w:id="21"/>
    </w:p>
    <w:tbl>
      <w:tblPr>
        <w:tblStyle w:val="14"/>
        <w:tblW w:w="8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9"/>
        <w:gridCol w:w="1422"/>
        <w:gridCol w:w="1279"/>
        <w:gridCol w:w="1709"/>
        <w:gridCol w:w="1382"/>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09" w:type="dxa"/>
            <w:vMerge w:val="restart"/>
            <w:tcBorders>
              <w:top w:val="single" w:color="4BACC6" w:sz="8" w:space="0"/>
              <w:left w:val="single" w:color="4BACC6" w:sz="8" w:space="0"/>
              <w:bottom w:val="single" w:color="FFFFFF" w:sz="18" w:space="0"/>
              <w:right w:val="single" w:color="4BACC6" w:sz="8" w:space="0"/>
            </w:tcBorders>
            <w:shd w:val="clear" w:color="auto" w:fill="4BACC6"/>
            <w:vAlign w:val="center"/>
          </w:tcPr>
          <w:p>
            <w:pPr>
              <w:outlineLvl w:val="9"/>
              <w:rPr>
                <w:rFonts w:ascii="仿宋_GB2312" w:hAnsi="仿宋_GB2312" w:eastAsia="仿宋_GB2312" w:cs="仿宋_GB2312"/>
                <w:color w:val="FFFFFF"/>
              </w:rPr>
            </w:pPr>
            <w:r>
              <w:rPr>
                <w:rFonts w:hint="eastAsia" w:ascii="仿宋_GB2312" w:hAnsi="仿宋_GB2312" w:eastAsia="仿宋_GB2312" w:cs="仿宋_GB2312"/>
                <w:color w:val="FFFFFF"/>
              </w:rPr>
              <w:t>内容</w:t>
            </w:r>
          </w:p>
        </w:tc>
        <w:tc>
          <w:tcPr>
            <w:tcW w:w="2701" w:type="dxa"/>
            <w:gridSpan w:val="2"/>
            <w:tcBorders>
              <w:top w:val="single" w:color="4BACC6" w:sz="8" w:space="0"/>
              <w:left w:val="single" w:color="4BACC6" w:sz="8" w:space="0"/>
              <w:bottom w:val="single" w:color="FFFFFF" w:sz="18" w:space="0"/>
              <w:right w:val="single" w:color="4BACC6" w:sz="8" w:space="0"/>
            </w:tcBorders>
            <w:shd w:val="clear" w:color="auto" w:fill="4BACC6"/>
            <w:vAlign w:val="center"/>
          </w:tcPr>
          <w:p>
            <w:pPr>
              <w:outlineLvl w:val="9"/>
              <w:rPr>
                <w:rFonts w:ascii="仿宋_GB2312" w:hAnsi="仿宋_GB2312" w:eastAsia="仿宋_GB2312" w:cs="仿宋_GB2312"/>
                <w:color w:val="FFFFFF"/>
              </w:rPr>
            </w:pPr>
            <w:r>
              <w:rPr>
                <w:rFonts w:hint="eastAsia" w:ascii="仿宋_GB2312" w:hAnsi="仿宋_GB2312" w:eastAsia="仿宋_GB2312" w:cs="仿宋_GB2312"/>
                <w:color w:val="FFFFFF"/>
                <w:lang w:val="en-US" w:eastAsia="zh-CN"/>
              </w:rPr>
              <w:t>2020</w:t>
            </w:r>
            <w:r>
              <w:rPr>
                <w:rFonts w:hint="eastAsia" w:ascii="仿宋_GB2312" w:hAnsi="仿宋_GB2312" w:eastAsia="仿宋_GB2312" w:cs="仿宋_GB2312"/>
                <w:color w:val="FFFFFF"/>
              </w:rPr>
              <w:t>年</w:t>
            </w:r>
          </w:p>
        </w:tc>
        <w:tc>
          <w:tcPr>
            <w:tcW w:w="3091" w:type="dxa"/>
            <w:gridSpan w:val="2"/>
            <w:tcBorders>
              <w:top w:val="single" w:color="4BACC6" w:sz="8" w:space="0"/>
              <w:left w:val="single" w:color="4BACC6" w:sz="8" w:space="0"/>
              <w:bottom w:val="single" w:color="FFFFFF" w:sz="18" w:space="0"/>
              <w:right w:val="single" w:color="4BACC6" w:sz="8" w:space="0"/>
            </w:tcBorders>
            <w:shd w:val="clear" w:color="auto" w:fill="4BACC6"/>
            <w:vAlign w:val="center"/>
          </w:tcPr>
          <w:p>
            <w:pPr>
              <w:outlineLvl w:val="9"/>
              <w:rPr>
                <w:rFonts w:ascii="仿宋_GB2312" w:hAnsi="仿宋_GB2312" w:eastAsia="仿宋_GB2312" w:cs="仿宋_GB2312"/>
                <w:color w:val="FFFFFF"/>
              </w:rPr>
            </w:pPr>
            <w:r>
              <w:rPr>
                <w:rFonts w:hint="eastAsia" w:ascii="仿宋_GB2312" w:hAnsi="仿宋_GB2312" w:eastAsia="仿宋_GB2312" w:cs="仿宋_GB2312"/>
                <w:color w:val="FFFFFF"/>
                <w:lang w:val="en-US" w:eastAsia="zh-CN"/>
              </w:rPr>
              <w:t>2021</w:t>
            </w:r>
            <w:r>
              <w:rPr>
                <w:rFonts w:hint="eastAsia" w:ascii="仿宋_GB2312" w:hAnsi="仿宋_GB2312" w:eastAsia="仿宋_GB2312" w:cs="仿宋_GB2312"/>
                <w:color w:val="FFFFFF"/>
              </w:rPr>
              <w:t>年</w:t>
            </w:r>
          </w:p>
        </w:tc>
        <w:tc>
          <w:tcPr>
            <w:tcW w:w="1137" w:type="dxa"/>
            <w:vMerge w:val="restart"/>
            <w:tcBorders>
              <w:top w:val="single" w:color="4BACC6" w:sz="8" w:space="0"/>
              <w:left w:val="single" w:color="4BACC6" w:sz="8" w:space="0"/>
              <w:bottom w:val="single" w:color="FFFFFF" w:sz="18" w:space="0"/>
              <w:right w:val="single" w:color="4BACC6" w:sz="8" w:space="0"/>
            </w:tcBorders>
            <w:shd w:val="clear" w:color="auto" w:fill="4BACC6"/>
            <w:vAlign w:val="center"/>
          </w:tcPr>
          <w:p>
            <w:pPr>
              <w:outlineLvl w:val="9"/>
              <w:rPr>
                <w:rFonts w:ascii="仿宋_GB2312" w:hAnsi="仿宋_GB2312" w:eastAsia="仿宋_GB2312" w:cs="仿宋_GB2312"/>
                <w:color w:val="FFFFFF"/>
              </w:rPr>
            </w:pPr>
            <w:r>
              <w:rPr>
                <w:rFonts w:hint="eastAsia" w:ascii="仿宋_GB2312" w:hAnsi="仿宋_GB2312" w:eastAsia="仿宋_GB2312" w:cs="仿宋_GB2312"/>
                <w:color w:val="FFFFFF"/>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709" w:type="dxa"/>
            <w:vMerge w:val="continue"/>
            <w:tcBorders>
              <w:top w:val="single" w:color="FFFFFF" w:sz="18" w:space="0"/>
              <w:left w:val="single" w:color="4BACC6" w:sz="8" w:space="0"/>
              <w:bottom w:val="single" w:color="4BACC6" w:sz="8" w:space="0"/>
              <w:right w:val="single" w:color="4BACC6" w:sz="8" w:space="0"/>
            </w:tcBorders>
            <w:shd w:val="clear" w:color="auto" w:fill="B7DDE8"/>
          </w:tcPr>
          <w:p>
            <w:pPr>
              <w:outlineLvl w:val="9"/>
              <w:rPr>
                <w:rFonts w:ascii="仿宋_GB2312" w:hAnsi="仿宋_GB2312" w:eastAsia="仿宋_GB2312" w:cs="仿宋_GB2312"/>
                <w:color w:val="000000"/>
              </w:rPr>
            </w:pPr>
          </w:p>
        </w:tc>
        <w:tc>
          <w:tcPr>
            <w:tcW w:w="1422" w:type="dxa"/>
            <w:tcBorders>
              <w:top w:val="single" w:color="FFFFFF" w:sz="18" w:space="0"/>
              <w:left w:val="single" w:color="4BACC6" w:sz="8" w:space="0"/>
              <w:bottom w:val="single" w:color="4BACC6" w:sz="8" w:space="0"/>
              <w:right w:val="single" w:color="4BACC6" w:sz="8" w:space="0"/>
            </w:tcBorders>
            <w:shd w:val="clear" w:color="auto" w:fill="B7DDE8"/>
            <w:vAlign w:val="center"/>
          </w:tcPr>
          <w:p>
            <w:pPr>
              <w:outlineLvl w:val="9"/>
              <w:rPr>
                <w:rFonts w:ascii="仿宋_GB2312" w:hAnsi="仿宋_GB2312" w:eastAsia="仿宋_GB2312" w:cs="仿宋_GB2312"/>
                <w:color w:val="000000"/>
              </w:rPr>
            </w:pPr>
            <w:r>
              <w:rPr>
                <w:rFonts w:hint="eastAsia" w:ascii="仿宋_GB2312" w:hAnsi="仿宋_GB2312" w:eastAsia="仿宋_GB2312" w:cs="仿宋_GB2312"/>
                <w:color w:val="000000"/>
              </w:rPr>
              <w:t>人数</w:t>
            </w:r>
          </w:p>
        </w:tc>
        <w:tc>
          <w:tcPr>
            <w:tcW w:w="1279" w:type="dxa"/>
            <w:tcBorders>
              <w:top w:val="single" w:color="FFFFFF" w:sz="18" w:space="0"/>
              <w:left w:val="single" w:color="4BACC6" w:sz="8" w:space="0"/>
              <w:bottom w:val="single" w:color="4BACC6" w:sz="8" w:space="0"/>
              <w:right w:val="single" w:color="4BACC6" w:sz="8" w:space="0"/>
            </w:tcBorders>
            <w:shd w:val="clear" w:color="auto" w:fill="B7DDE8"/>
            <w:vAlign w:val="center"/>
          </w:tcPr>
          <w:p>
            <w:pPr>
              <w:outlineLvl w:val="9"/>
              <w:rPr>
                <w:rFonts w:ascii="仿宋_GB2312" w:hAnsi="仿宋_GB2312" w:eastAsia="仿宋_GB2312" w:cs="仿宋_GB2312"/>
                <w:color w:val="000000"/>
              </w:rPr>
            </w:pPr>
            <w:r>
              <w:rPr>
                <w:rFonts w:hint="eastAsia" w:ascii="仿宋_GB2312" w:hAnsi="仿宋_GB2312" w:eastAsia="仿宋_GB2312" w:cs="仿宋_GB2312"/>
                <w:color w:val="000000"/>
              </w:rPr>
              <w:t>比例（%）</w:t>
            </w:r>
          </w:p>
        </w:tc>
        <w:tc>
          <w:tcPr>
            <w:tcW w:w="1709" w:type="dxa"/>
            <w:tcBorders>
              <w:top w:val="single" w:color="FFFFFF" w:sz="18" w:space="0"/>
              <w:left w:val="single" w:color="4BACC6" w:sz="8" w:space="0"/>
              <w:bottom w:val="single" w:color="4BACC6" w:sz="8" w:space="0"/>
              <w:right w:val="single" w:color="4BACC6" w:sz="8" w:space="0"/>
            </w:tcBorders>
            <w:shd w:val="clear" w:color="auto" w:fill="B7DDE8"/>
            <w:vAlign w:val="center"/>
          </w:tcPr>
          <w:p>
            <w:pPr>
              <w:outlineLvl w:val="9"/>
              <w:rPr>
                <w:rFonts w:ascii="仿宋_GB2312" w:hAnsi="仿宋_GB2312" w:eastAsia="仿宋_GB2312" w:cs="仿宋_GB2312"/>
                <w:color w:val="000000"/>
              </w:rPr>
            </w:pPr>
            <w:r>
              <w:rPr>
                <w:rFonts w:hint="eastAsia" w:ascii="仿宋_GB2312" w:hAnsi="仿宋_GB2312" w:eastAsia="仿宋_GB2312" w:cs="仿宋_GB2312"/>
                <w:color w:val="000000"/>
              </w:rPr>
              <w:t>人数</w:t>
            </w:r>
          </w:p>
        </w:tc>
        <w:tc>
          <w:tcPr>
            <w:tcW w:w="1382" w:type="dxa"/>
            <w:tcBorders>
              <w:top w:val="single" w:color="FFFFFF" w:sz="18" w:space="0"/>
              <w:left w:val="single" w:color="4BACC6" w:sz="8" w:space="0"/>
              <w:bottom w:val="single" w:color="4BACC6" w:sz="8" w:space="0"/>
              <w:right w:val="single" w:color="4BACC6" w:sz="8" w:space="0"/>
            </w:tcBorders>
            <w:shd w:val="clear" w:color="auto" w:fill="B7DDE8"/>
            <w:vAlign w:val="center"/>
          </w:tcPr>
          <w:p>
            <w:pPr>
              <w:outlineLvl w:val="9"/>
              <w:rPr>
                <w:rFonts w:ascii="仿宋_GB2312" w:hAnsi="仿宋_GB2312" w:eastAsia="仿宋_GB2312" w:cs="仿宋_GB2312"/>
                <w:color w:val="000000"/>
              </w:rPr>
            </w:pPr>
            <w:r>
              <w:rPr>
                <w:rFonts w:hint="eastAsia" w:ascii="仿宋_GB2312" w:hAnsi="仿宋_GB2312" w:eastAsia="仿宋_GB2312" w:cs="仿宋_GB2312"/>
                <w:color w:val="000000"/>
              </w:rPr>
              <w:t>比例（%）</w:t>
            </w:r>
          </w:p>
        </w:tc>
        <w:tc>
          <w:tcPr>
            <w:tcW w:w="1137" w:type="dxa"/>
            <w:vMerge w:val="continue"/>
            <w:tcBorders>
              <w:top w:val="single" w:color="FFFFFF" w:sz="18" w:space="0"/>
              <w:left w:val="single" w:color="4BACC6" w:sz="8" w:space="0"/>
              <w:bottom w:val="single" w:color="4BACC6" w:sz="8" w:space="0"/>
              <w:right w:val="single" w:color="4BACC6" w:sz="8" w:space="0"/>
            </w:tcBorders>
            <w:shd w:val="clear" w:color="auto" w:fill="B7DDE8"/>
            <w:vAlign w:val="center"/>
          </w:tcPr>
          <w:p>
            <w:pPr>
              <w:outlineLvl w:val="9"/>
              <w:rPr>
                <w:rFonts w:ascii="仿宋_GB2312" w:hAnsi="仿宋_GB2312" w:eastAsia="仿宋_GB2312" w:cs="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09" w:type="dxa"/>
            <w:tcBorders>
              <w:top w:val="single" w:color="4BACC6" w:sz="8" w:space="0"/>
              <w:left w:val="single" w:color="4BACC6" w:sz="8" w:space="0"/>
              <w:bottom w:val="single" w:color="4BACC6" w:sz="8" w:space="0"/>
              <w:right w:val="single" w:color="4BACC6" w:sz="8" w:space="0"/>
            </w:tcBorders>
            <w:shd w:val="clear" w:color="auto" w:fill="FFFFFF"/>
            <w:vAlign w:val="center"/>
          </w:tcPr>
          <w:p>
            <w:pPr>
              <w:outlineLvl w:val="9"/>
              <w:rPr>
                <w:rFonts w:ascii="仿宋_GB2312" w:hAnsi="仿宋_GB2312" w:eastAsia="仿宋_GB2312" w:cs="仿宋_GB2312"/>
                <w:color w:val="000000"/>
              </w:rPr>
            </w:pPr>
            <w:r>
              <w:rPr>
                <w:rFonts w:hint="eastAsia" w:ascii="仿宋_GB2312" w:hAnsi="仿宋_GB2312" w:eastAsia="仿宋_GB2312" w:cs="仿宋_GB2312"/>
                <w:color w:val="000000"/>
              </w:rPr>
              <w:t>专任教师总数</w:t>
            </w:r>
          </w:p>
        </w:tc>
        <w:tc>
          <w:tcPr>
            <w:tcW w:w="2701" w:type="dxa"/>
            <w:gridSpan w:val="2"/>
            <w:tcBorders>
              <w:top w:val="single" w:color="4BACC6" w:sz="8" w:space="0"/>
              <w:left w:val="single" w:color="4BACC6" w:sz="8" w:space="0"/>
              <w:bottom w:val="single" w:color="4BACC6" w:sz="8" w:space="0"/>
              <w:right w:val="single" w:color="4BACC6" w:sz="8" w:space="0"/>
            </w:tcBorders>
            <w:shd w:val="clear" w:color="auto" w:fill="FFFFFF"/>
            <w:vAlign w:val="center"/>
          </w:tcPr>
          <w:p>
            <w:pPr>
              <w:outlineLvl w:val="9"/>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lang w:val="en-US" w:eastAsia="zh-CN"/>
              </w:rPr>
              <w:t>74</w:t>
            </w:r>
          </w:p>
        </w:tc>
        <w:tc>
          <w:tcPr>
            <w:tcW w:w="3091" w:type="dxa"/>
            <w:gridSpan w:val="2"/>
            <w:tcBorders>
              <w:top w:val="single" w:color="4BACC6" w:sz="8" w:space="0"/>
              <w:left w:val="single" w:color="4BACC6" w:sz="8" w:space="0"/>
              <w:bottom w:val="single" w:color="4BACC6" w:sz="8" w:space="0"/>
              <w:right w:val="single" w:color="4BACC6" w:sz="8" w:space="0"/>
            </w:tcBorders>
            <w:shd w:val="clear" w:color="auto" w:fill="FFFFFF"/>
            <w:vAlign w:val="center"/>
          </w:tcPr>
          <w:p>
            <w:pPr>
              <w:outlineLvl w:val="9"/>
              <w:rPr>
                <w:rFonts w:hint="default" w:ascii="仿宋_GB2312" w:hAnsi="仿宋_GB2312" w:eastAsia="仿宋_GB2312" w:cs="仿宋_GB2312"/>
                <w:color w:val="000000"/>
                <w:lang w:val="en-US" w:eastAsia="zh-CN"/>
              </w:rPr>
            </w:pPr>
            <w:r>
              <w:rPr>
                <w:rFonts w:hint="eastAsia" w:ascii="仿宋_GB2312" w:hAnsi="仿宋_GB2312" w:eastAsia="仿宋_GB2312" w:cs="仿宋_GB2312"/>
                <w:color w:val="000000"/>
                <w:lang w:val="en-US" w:eastAsia="zh-CN"/>
              </w:rPr>
              <w:t>70</w:t>
            </w:r>
          </w:p>
        </w:tc>
        <w:tc>
          <w:tcPr>
            <w:tcW w:w="1137" w:type="dxa"/>
            <w:tcBorders>
              <w:top w:val="single" w:color="4BACC6" w:sz="8" w:space="0"/>
              <w:left w:val="single" w:color="4BACC6" w:sz="8" w:space="0"/>
              <w:bottom w:val="single" w:color="4BACC6" w:sz="8" w:space="0"/>
              <w:right w:val="single" w:color="4BACC6" w:sz="8" w:space="0"/>
            </w:tcBorders>
            <w:shd w:val="clear" w:color="auto" w:fill="FFFFFF"/>
            <w:vAlign w:val="center"/>
          </w:tcPr>
          <w:p>
            <w:pPr>
              <w:outlineLvl w:val="9"/>
              <w:rPr>
                <w:rFonts w:ascii="仿宋_GB2312" w:hAnsi="仿宋_GB2312" w:eastAsia="仿宋_GB2312" w:cs="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09" w:type="dxa"/>
            <w:tcBorders>
              <w:top w:val="single" w:color="4BACC6" w:sz="8" w:space="0"/>
              <w:left w:val="single" w:color="4BACC6" w:sz="8" w:space="0"/>
              <w:bottom w:val="single" w:color="4BACC6" w:sz="8" w:space="0"/>
              <w:right w:val="single" w:color="4BACC6" w:sz="8" w:space="0"/>
            </w:tcBorders>
            <w:shd w:val="clear" w:color="auto" w:fill="B7DDE8"/>
            <w:vAlign w:val="center"/>
          </w:tcPr>
          <w:p>
            <w:pPr>
              <w:outlineLvl w:val="9"/>
              <w:rPr>
                <w:rFonts w:ascii="仿宋_GB2312" w:hAnsi="仿宋_GB2312" w:eastAsia="仿宋_GB2312" w:cs="仿宋_GB2312"/>
                <w:color w:val="000000"/>
              </w:rPr>
            </w:pPr>
            <w:r>
              <w:rPr>
                <w:rFonts w:hint="eastAsia" w:ascii="仿宋_GB2312" w:hAnsi="仿宋_GB2312" w:eastAsia="仿宋_GB2312" w:cs="仿宋_GB2312"/>
                <w:color w:val="000000"/>
              </w:rPr>
              <w:t>专业课教师数</w:t>
            </w:r>
          </w:p>
        </w:tc>
        <w:tc>
          <w:tcPr>
            <w:tcW w:w="1422" w:type="dxa"/>
            <w:tcBorders>
              <w:top w:val="single" w:color="4BACC6" w:sz="8" w:space="0"/>
              <w:left w:val="single" w:color="4BACC6" w:sz="8" w:space="0"/>
              <w:bottom w:val="single" w:color="4BACC6" w:sz="8" w:space="0"/>
              <w:right w:val="single" w:color="4BACC6" w:sz="8" w:space="0"/>
            </w:tcBorders>
            <w:shd w:val="clear" w:color="auto" w:fill="B7DDE8"/>
            <w:vAlign w:val="center"/>
          </w:tcPr>
          <w:p>
            <w:pPr>
              <w:outlineLvl w:val="9"/>
              <w:rPr>
                <w:rFonts w:hint="default"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rPr>
              <w:t>37</w:t>
            </w:r>
          </w:p>
        </w:tc>
        <w:tc>
          <w:tcPr>
            <w:tcW w:w="1279" w:type="dxa"/>
            <w:tcBorders>
              <w:top w:val="single" w:color="4BACC6" w:sz="8" w:space="0"/>
              <w:left w:val="single" w:color="4BACC6" w:sz="8" w:space="0"/>
              <w:bottom w:val="single" w:color="4BACC6" w:sz="8" w:space="0"/>
              <w:right w:val="single" w:color="4BACC6" w:sz="8" w:space="0"/>
            </w:tcBorders>
            <w:shd w:val="clear" w:color="auto" w:fill="B7DDE8"/>
            <w:vAlign w:val="center"/>
          </w:tcPr>
          <w:p>
            <w:pPr>
              <w:outlineLvl w:val="9"/>
              <w:rPr>
                <w:rFonts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rPr>
              <w:t>50</w:t>
            </w:r>
          </w:p>
        </w:tc>
        <w:tc>
          <w:tcPr>
            <w:tcW w:w="1709" w:type="dxa"/>
            <w:tcBorders>
              <w:top w:val="single" w:color="4BACC6" w:sz="8" w:space="0"/>
              <w:left w:val="single" w:color="4BACC6" w:sz="8" w:space="0"/>
              <w:bottom w:val="single" w:color="4BACC6" w:sz="8" w:space="0"/>
              <w:right w:val="single" w:color="4BACC6" w:sz="8" w:space="0"/>
            </w:tcBorders>
            <w:shd w:val="clear" w:color="auto" w:fill="B7DDE8"/>
            <w:vAlign w:val="center"/>
          </w:tcPr>
          <w:p>
            <w:pPr>
              <w:outlineLvl w:val="9"/>
              <w:rPr>
                <w:rFonts w:ascii="仿宋_GB2312" w:hAnsi="仿宋_GB2312" w:eastAsia="仿宋_GB2312" w:cs="仿宋_GB2312"/>
                <w:color w:val="000000"/>
              </w:rPr>
            </w:pPr>
            <w:r>
              <w:rPr>
                <w:rFonts w:hint="eastAsia" w:ascii="仿宋_GB2312" w:hAnsi="仿宋_GB2312" w:eastAsia="仿宋_GB2312" w:cs="仿宋_GB2312"/>
                <w:color w:val="000000"/>
              </w:rPr>
              <w:t>37</w:t>
            </w:r>
          </w:p>
        </w:tc>
        <w:tc>
          <w:tcPr>
            <w:tcW w:w="1382" w:type="dxa"/>
            <w:tcBorders>
              <w:top w:val="single" w:color="4BACC6" w:sz="8" w:space="0"/>
              <w:left w:val="single" w:color="4BACC6" w:sz="8" w:space="0"/>
              <w:bottom w:val="single" w:color="4BACC6" w:sz="8" w:space="0"/>
              <w:right w:val="single" w:color="4BACC6" w:sz="8" w:space="0"/>
            </w:tcBorders>
            <w:shd w:val="clear" w:color="auto" w:fill="B7DDE8"/>
            <w:vAlign w:val="center"/>
          </w:tcPr>
          <w:p>
            <w:pPr>
              <w:outlineLvl w:val="9"/>
              <w:rPr>
                <w:rFonts w:hint="default" w:ascii="仿宋_GB2312" w:hAnsi="仿宋_GB2312" w:eastAsia="仿宋_GB2312" w:cs="仿宋_GB2312"/>
                <w:color w:val="000000"/>
                <w:lang w:val="en-US" w:eastAsia="zh-CN"/>
              </w:rPr>
            </w:pPr>
            <w:r>
              <w:rPr>
                <w:rFonts w:hint="eastAsia" w:ascii="仿宋_GB2312" w:hAnsi="仿宋_GB2312" w:eastAsia="仿宋_GB2312" w:cs="仿宋_GB2312"/>
                <w:color w:val="000000"/>
                <w:lang w:val="en-US" w:eastAsia="zh-CN"/>
              </w:rPr>
              <w:t>52.9</w:t>
            </w:r>
          </w:p>
        </w:tc>
        <w:tc>
          <w:tcPr>
            <w:tcW w:w="1137" w:type="dxa"/>
            <w:tcBorders>
              <w:top w:val="single" w:color="4BACC6" w:sz="8" w:space="0"/>
              <w:left w:val="single" w:color="4BACC6" w:sz="8" w:space="0"/>
              <w:bottom w:val="single" w:color="4BACC6" w:sz="8" w:space="0"/>
              <w:right w:val="single" w:color="4BACC6" w:sz="8" w:space="0"/>
            </w:tcBorders>
            <w:shd w:val="clear" w:color="auto" w:fill="B7DDE8"/>
            <w:vAlign w:val="center"/>
          </w:tcPr>
          <w:p>
            <w:pPr>
              <w:outlineLvl w:val="9"/>
              <w:rPr>
                <w:rFonts w:ascii="仿宋_GB2312" w:hAnsi="仿宋_GB2312" w:eastAsia="仿宋_GB2312" w:cs="仿宋_GB2312"/>
                <w:color w:val="000000"/>
              </w:rPr>
            </w:pPr>
            <w:r>
              <w:rPr>
                <w:rFonts w:hint="eastAsia" w:ascii="仿宋_GB2312" w:hAnsi="仿宋_GB2312" w:eastAsia="仿宋_GB2312" w:cs="仿宋_GB2312"/>
                <w:color w:val="000000"/>
              </w:rPr>
              <w:t>+</w:t>
            </w:r>
            <w:r>
              <w:rPr>
                <w:rFonts w:hint="eastAsia" w:ascii="仿宋_GB2312" w:hAnsi="仿宋_GB2312" w:eastAsia="仿宋_GB2312" w:cs="仿宋_GB2312"/>
                <w:color w:val="000000"/>
                <w:lang w:val="en-US" w:eastAsia="zh-CN"/>
              </w:rPr>
              <w:t>2.9</w:t>
            </w:r>
            <w:r>
              <w:rPr>
                <w:rFonts w:hint="eastAsia" w:ascii="仿宋_GB2312" w:hAnsi="仿宋_GB2312" w:eastAsia="仿宋_GB2312" w:cs="仿宋_GB2312"/>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09" w:type="dxa"/>
            <w:tcBorders>
              <w:top w:val="single" w:color="4BACC6" w:sz="8" w:space="0"/>
              <w:left w:val="single" w:color="4BACC6" w:sz="8" w:space="0"/>
              <w:bottom w:val="single" w:color="4BACC6" w:sz="8" w:space="0"/>
              <w:right w:val="single" w:color="4BACC6" w:sz="8" w:space="0"/>
            </w:tcBorders>
            <w:shd w:val="clear" w:color="auto" w:fill="FFFFFF"/>
            <w:vAlign w:val="center"/>
          </w:tcPr>
          <w:p>
            <w:pPr>
              <w:outlineLvl w:val="9"/>
              <w:rPr>
                <w:rFonts w:ascii="仿宋_GB2312" w:hAnsi="仿宋_GB2312" w:eastAsia="仿宋_GB2312" w:cs="仿宋_GB2312"/>
                <w:color w:val="000000"/>
              </w:rPr>
            </w:pPr>
            <w:r>
              <w:rPr>
                <w:rFonts w:hint="eastAsia" w:ascii="仿宋_GB2312" w:hAnsi="仿宋_GB2312" w:eastAsia="仿宋_GB2312" w:cs="仿宋_GB2312"/>
                <w:color w:val="000000"/>
              </w:rPr>
              <w:t>双师型教师</w:t>
            </w:r>
          </w:p>
        </w:tc>
        <w:tc>
          <w:tcPr>
            <w:tcW w:w="1422" w:type="dxa"/>
            <w:tcBorders>
              <w:top w:val="single" w:color="4BACC6" w:sz="8" w:space="0"/>
              <w:left w:val="single" w:color="4BACC6" w:sz="8" w:space="0"/>
              <w:bottom w:val="single" w:color="4BACC6" w:sz="8" w:space="0"/>
              <w:right w:val="single" w:color="4BACC6" w:sz="8" w:space="0"/>
            </w:tcBorders>
            <w:shd w:val="clear" w:color="auto" w:fill="FFFFFF"/>
            <w:vAlign w:val="center"/>
          </w:tcPr>
          <w:p>
            <w:pPr>
              <w:outlineLvl w:val="9"/>
              <w:rPr>
                <w:rFonts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rPr>
              <w:t>41</w:t>
            </w:r>
          </w:p>
        </w:tc>
        <w:tc>
          <w:tcPr>
            <w:tcW w:w="1279" w:type="dxa"/>
            <w:tcBorders>
              <w:top w:val="single" w:color="4BACC6" w:sz="8" w:space="0"/>
              <w:left w:val="single" w:color="4BACC6" w:sz="8" w:space="0"/>
              <w:bottom w:val="single" w:color="4BACC6" w:sz="8" w:space="0"/>
              <w:right w:val="single" w:color="4BACC6" w:sz="8" w:space="0"/>
            </w:tcBorders>
            <w:shd w:val="clear" w:color="auto" w:fill="FFFFFF"/>
            <w:vAlign w:val="center"/>
          </w:tcPr>
          <w:p>
            <w:pPr>
              <w:outlineLvl w:val="9"/>
              <w:rPr>
                <w:rFonts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rPr>
              <w:t>55.4</w:t>
            </w:r>
          </w:p>
        </w:tc>
        <w:tc>
          <w:tcPr>
            <w:tcW w:w="1709" w:type="dxa"/>
            <w:tcBorders>
              <w:top w:val="single" w:color="4BACC6" w:sz="8" w:space="0"/>
              <w:left w:val="single" w:color="4BACC6" w:sz="8" w:space="0"/>
              <w:bottom w:val="single" w:color="4BACC6" w:sz="8" w:space="0"/>
              <w:right w:val="single" w:color="4BACC6" w:sz="8" w:space="0"/>
            </w:tcBorders>
            <w:shd w:val="clear" w:color="auto" w:fill="FFFFFF"/>
            <w:vAlign w:val="center"/>
          </w:tcPr>
          <w:p>
            <w:pPr>
              <w:outlineLvl w:val="9"/>
              <w:rPr>
                <w:rFonts w:ascii="仿宋_GB2312" w:hAnsi="仿宋_GB2312" w:eastAsia="仿宋_GB2312" w:cs="仿宋_GB2312"/>
                <w:color w:val="000000"/>
              </w:rPr>
            </w:pPr>
            <w:r>
              <w:rPr>
                <w:rFonts w:hint="eastAsia" w:ascii="仿宋_GB2312" w:hAnsi="仿宋_GB2312" w:eastAsia="仿宋_GB2312" w:cs="仿宋_GB2312"/>
                <w:color w:val="000000"/>
              </w:rPr>
              <w:t>41</w:t>
            </w:r>
          </w:p>
        </w:tc>
        <w:tc>
          <w:tcPr>
            <w:tcW w:w="1382" w:type="dxa"/>
            <w:tcBorders>
              <w:top w:val="single" w:color="4BACC6" w:sz="8" w:space="0"/>
              <w:left w:val="single" w:color="4BACC6" w:sz="8" w:space="0"/>
              <w:bottom w:val="single" w:color="4BACC6" w:sz="8" w:space="0"/>
              <w:right w:val="single" w:color="4BACC6" w:sz="8" w:space="0"/>
            </w:tcBorders>
            <w:shd w:val="clear" w:color="auto" w:fill="FFFFFF"/>
            <w:vAlign w:val="center"/>
          </w:tcPr>
          <w:p>
            <w:pPr>
              <w:outlineLvl w:val="9"/>
              <w:rPr>
                <w:rFonts w:hint="default" w:ascii="仿宋_GB2312" w:hAnsi="仿宋_GB2312" w:eastAsia="仿宋_GB2312" w:cs="仿宋_GB2312"/>
                <w:color w:val="000000"/>
                <w:lang w:val="en-US" w:eastAsia="zh-CN"/>
              </w:rPr>
            </w:pPr>
            <w:r>
              <w:rPr>
                <w:rFonts w:hint="eastAsia" w:ascii="仿宋_GB2312" w:hAnsi="仿宋_GB2312" w:eastAsia="仿宋_GB2312" w:cs="仿宋_GB2312"/>
                <w:color w:val="000000"/>
                <w:lang w:val="en-US" w:eastAsia="zh-CN"/>
              </w:rPr>
              <w:t>58.6</w:t>
            </w:r>
          </w:p>
        </w:tc>
        <w:tc>
          <w:tcPr>
            <w:tcW w:w="1137" w:type="dxa"/>
            <w:tcBorders>
              <w:top w:val="single" w:color="4BACC6" w:sz="8" w:space="0"/>
              <w:left w:val="single" w:color="4BACC6" w:sz="8" w:space="0"/>
              <w:bottom w:val="single" w:color="4BACC6" w:sz="8" w:space="0"/>
              <w:right w:val="single" w:color="4BACC6" w:sz="8" w:space="0"/>
            </w:tcBorders>
            <w:shd w:val="clear" w:color="auto" w:fill="FFFFFF"/>
            <w:vAlign w:val="center"/>
          </w:tcPr>
          <w:p>
            <w:pPr>
              <w:outlineLvl w:val="9"/>
              <w:rPr>
                <w:rFonts w:ascii="仿宋_GB2312" w:hAnsi="仿宋_GB2312" w:eastAsia="仿宋_GB2312" w:cs="仿宋_GB2312"/>
                <w:color w:val="000000"/>
              </w:rPr>
            </w:pPr>
            <w:r>
              <w:rPr>
                <w:rFonts w:hint="eastAsia" w:ascii="仿宋_GB2312" w:hAnsi="仿宋_GB2312" w:eastAsia="仿宋_GB2312" w:cs="仿宋_GB2312"/>
                <w:color w:val="000000"/>
              </w:rPr>
              <w:t>+</w:t>
            </w:r>
            <w:r>
              <w:rPr>
                <w:rFonts w:hint="eastAsia" w:ascii="仿宋_GB2312" w:hAnsi="仿宋_GB2312" w:eastAsia="仿宋_GB2312" w:cs="仿宋_GB2312"/>
                <w:color w:val="000000"/>
                <w:lang w:val="en-US" w:eastAsia="zh-CN"/>
              </w:rPr>
              <w:t>3.2</w:t>
            </w:r>
            <w:r>
              <w:rPr>
                <w:rFonts w:hint="eastAsia" w:ascii="仿宋_GB2312" w:hAnsi="仿宋_GB2312" w:eastAsia="仿宋_GB2312" w:cs="仿宋_GB2312"/>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09" w:type="dxa"/>
            <w:tcBorders>
              <w:top w:val="single" w:color="4BACC6" w:sz="8" w:space="0"/>
              <w:left w:val="single" w:color="4BACC6" w:sz="8" w:space="0"/>
              <w:bottom w:val="single" w:color="4BACC6" w:sz="8" w:space="0"/>
              <w:right w:val="single" w:color="4BACC6" w:sz="8" w:space="0"/>
            </w:tcBorders>
            <w:shd w:val="clear" w:color="auto" w:fill="B7DDE8"/>
            <w:vAlign w:val="center"/>
          </w:tcPr>
          <w:p>
            <w:pPr>
              <w:outlineLvl w:val="9"/>
              <w:rPr>
                <w:rFonts w:ascii="仿宋_GB2312" w:hAnsi="仿宋_GB2312" w:eastAsia="仿宋_GB2312" w:cs="仿宋_GB2312"/>
                <w:color w:val="000000"/>
              </w:rPr>
            </w:pPr>
            <w:r>
              <w:rPr>
                <w:rFonts w:hint="eastAsia" w:ascii="仿宋_GB2312" w:hAnsi="仿宋_GB2312" w:eastAsia="仿宋_GB2312" w:cs="仿宋_GB2312"/>
                <w:color w:val="000000"/>
              </w:rPr>
              <w:t>高级职称</w:t>
            </w:r>
          </w:p>
        </w:tc>
        <w:tc>
          <w:tcPr>
            <w:tcW w:w="1422" w:type="dxa"/>
            <w:tcBorders>
              <w:top w:val="single" w:color="4BACC6" w:sz="8" w:space="0"/>
              <w:left w:val="single" w:color="4BACC6" w:sz="8" w:space="0"/>
              <w:bottom w:val="single" w:color="4BACC6" w:sz="8" w:space="0"/>
              <w:right w:val="single" w:color="4BACC6" w:sz="8" w:space="0"/>
            </w:tcBorders>
            <w:shd w:val="clear" w:color="auto" w:fill="B7DDE8"/>
            <w:vAlign w:val="center"/>
          </w:tcPr>
          <w:p>
            <w:pPr>
              <w:outlineLvl w:val="9"/>
              <w:rPr>
                <w:rFonts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rPr>
              <w:t>29</w:t>
            </w:r>
          </w:p>
        </w:tc>
        <w:tc>
          <w:tcPr>
            <w:tcW w:w="1279" w:type="dxa"/>
            <w:tcBorders>
              <w:top w:val="single" w:color="4BACC6" w:sz="8" w:space="0"/>
              <w:left w:val="single" w:color="4BACC6" w:sz="8" w:space="0"/>
              <w:bottom w:val="single" w:color="4BACC6" w:sz="8" w:space="0"/>
              <w:right w:val="single" w:color="4BACC6" w:sz="8" w:space="0"/>
            </w:tcBorders>
            <w:shd w:val="clear" w:color="auto" w:fill="B7DDE8"/>
            <w:vAlign w:val="center"/>
          </w:tcPr>
          <w:p>
            <w:pPr>
              <w:outlineLvl w:val="9"/>
              <w:rPr>
                <w:rFonts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rPr>
              <w:t>39.2</w:t>
            </w:r>
          </w:p>
        </w:tc>
        <w:tc>
          <w:tcPr>
            <w:tcW w:w="1709" w:type="dxa"/>
            <w:tcBorders>
              <w:top w:val="single" w:color="4BACC6" w:sz="8" w:space="0"/>
              <w:left w:val="single" w:color="4BACC6" w:sz="8" w:space="0"/>
              <w:bottom w:val="single" w:color="4BACC6" w:sz="8" w:space="0"/>
              <w:right w:val="single" w:color="4BACC6" w:sz="8" w:space="0"/>
            </w:tcBorders>
            <w:shd w:val="clear" w:color="auto" w:fill="B7DDE8"/>
            <w:vAlign w:val="center"/>
          </w:tcPr>
          <w:p>
            <w:pPr>
              <w:outlineLvl w:val="9"/>
              <w:rPr>
                <w:rFonts w:ascii="仿宋_GB2312" w:hAnsi="仿宋_GB2312" w:eastAsia="仿宋_GB2312" w:cs="仿宋_GB2312"/>
                <w:color w:val="000000"/>
              </w:rPr>
            </w:pPr>
            <w:r>
              <w:rPr>
                <w:rFonts w:hint="eastAsia" w:ascii="仿宋_GB2312" w:hAnsi="仿宋_GB2312" w:eastAsia="仿宋_GB2312" w:cs="仿宋_GB2312"/>
                <w:color w:val="000000"/>
              </w:rPr>
              <w:t>29</w:t>
            </w:r>
          </w:p>
        </w:tc>
        <w:tc>
          <w:tcPr>
            <w:tcW w:w="1382" w:type="dxa"/>
            <w:tcBorders>
              <w:top w:val="single" w:color="4BACC6" w:sz="8" w:space="0"/>
              <w:left w:val="single" w:color="4BACC6" w:sz="8" w:space="0"/>
              <w:bottom w:val="single" w:color="4BACC6" w:sz="8" w:space="0"/>
              <w:right w:val="single" w:color="4BACC6" w:sz="8" w:space="0"/>
            </w:tcBorders>
            <w:shd w:val="clear" w:color="auto" w:fill="B7DDE8"/>
            <w:vAlign w:val="center"/>
          </w:tcPr>
          <w:p>
            <w:pPr>
              <w:outlineLvl w:val="9"/>
              <w:rPr>
                <w:rFonts w:hint="default" w:ascii="仿宋_GB2312" w:hAnsi="仿宋_GB2312" w:eastAsia="仿宋_GB2312" w:cs="仿宋_GB2312"/>
                <w:color w:val="000000"/>
                <w:lang w:val="en-US" w:eastAsia="zh-CN"/>
              </w:rPr>
            </w:pPr>
            <w:r>
              <w:rPr>
                <w:rFonts w:hint="eastAsia" w:ascii="仿宋_GB2312" w:hAnsi="仿宋_GB2312" w:eastAsia="仿宋_GB2312" w:cs="仿宋_GB2312"/>
                <w:color w:val="000000"/>
                <w:lang w:val="en-US" w:eastAsia="zh-CN"/>
              </w:rPr>
              <w:t>41.4</w:t>
            </w:r>
          </w:p>
        </w:tc>
        <w:tc>
          <w:tcPr>
            <w:tcW w:w="1137" w:type="dxa"/>
            <w:tcBorders>
              <w:top w:val="single" w:color="4BACC6" w:sz="8" w:space="0"/>
              <w:left w:val="single" w:color="4BACC6" w:sz="8" w:space="0"/>
              <w:bottom w:val="single" w:color="4BACC6" w:sz="8" w:space="0"/>
              <w:right w:val="single" w:color="4BACC6" w:sz="8" w:space="0"/>
            </w:tcBorders>
            <w:shd w:val="clear" w:color="auto" w:fill="B7DDE8"/>
            <w:vAlign w:val="center"/>
          </w:tcPr>
          <w:p>
            <w:pPr>
              <w:outlineLvl w:val="9"/>
              <w:rPr>
                <w:rFonts w:ascii="仿宋_GB2312" w:hAnsi="仿宋_GB2312" w:eastAsia="仿宋_GB2312" w:cs="仿宋_GB2312"/>
                <w:color w:val="000000"/>
              </w:rPr>
            </w:pPr>
            <w:r>
              <w:rPr>
                <w:rFonts w:hint="eastAsia" w:ascii="仿宋_GB2312" w:hAnsi="仿宋_GB2312" w:eastAsia="仿宋_GB2312" w:cs="仿宋_GB2312"/>
                <w:color w:val="000000"/>
                <w:lang w:val="en-US" w:eastAsia="zh-CN"/>
              </w:rPr>
              <w:t>+2.2</w:t>
            </w:r>
            <w:r>
              <w:rPr>
                <w:rFonts w:hint="eastAsia" w:ascii="仿宋_GB2312" w:hAnsi="仿宋_GB2312" w:eastAsia="仿宋_GB2312" w:cs="仿宋_GB2312"/>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09" w:type="dxa"/>
            <w:tcBorders>
              <w:top w:val="single" w:color="4BACC6" w:sz="8" w:space="0"/>
              <w:left w:val="single" w:color="4BACC6" w:sz="8" w:space="0"/>
              <w:bottom w:val="single" w:color="4BACC6" w:sz="8" w:space="0"/>
              <w:right w:val="single" w:color="4BACC6" w:sz="8" w:space="0"/>
            </w:tcBorders>
            <w:shd w:val="clear" w:color="auto" w:fill="FFFFFF"/>
            <w:vAlign w:val="center"/>
          </w:tcPr>
          <w:p>
            <w:pPr>
              <w:outlineLvl w:val="9"/>
              <w:rPr>
                <w:rFonts w:ascii="仿宋_GB2312" w:hAnsi="仿宋_GB2312" w:eastAsia="仿宋_GB2312" w:cs="仿宋_GB2312"/>
                <w:color w:val="000000"/>
              </w:rPr>
            </w:pPr>
            <w:r>
              <w:rPr>
                <w:rFonts w:hint="eastAsia" w:ascii="仿宋_GB2312" w:hAnsi="仿宋_GB2312" w:eastAsia="仿宋_GB2312" w:cs="仿宋_GB2312"/>
                <w:color w:val="000000"/>
              </w:rPr>
              <w:t>研究生</w:t>
            </w:r>
          </w:p>
        </w:tc>
        <w:tc>
          <w:tcPr>
            <w:tcW w:w="1422" w:type="dxa"/>
            <w:tcBorders>
              <w:top w:val="single" w:color="4BACC6" w:sz="8" w:space="0"/>
              <w:left w:val="single" w:color="4BACC6" w:sz="8" w:space="0"/>
              <w:bottom w:val="single" w:color="4BACC6" w:sz="8" w:space="0"/>
              <w:right w:val="single" w:color="4BACC6" w:sz="8" w:space="0"/>
            </w:tcBorders>
            <w:shd w:val="clear" w:color="auto" w:fill="FFFFFF"/>
            <w:vAlign w:val="center"/>
          </w:tcPr>
          <w:p>
            <w:pPr>
              <w:outlineLvl w:val="9"/>
              <w:rPr>
                <w:rFonts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rPr>
              <w:t>8</w:t>
            </w:r>
          </w:p>
        </w:tc>
        <w:tc>
          <w:tcPr>
            <w:tcW w:w="1279" w:type="dxa"/>
            <w:tcBorders>
              <w:top w:val="single" w:color="4BACC6" w:sz="8" w:space="0"/>
              <w:left w:val="single" w:color="4BACC6" w:sz="8" w:space="0"/>
              <w:bottom w:val="single" w:color="4BACC6" w:sz="8" w:space="0"/>
              <w:right w:val="single" w:color="4BACC6" w:sz="8" w:space="0"/>
            </w:tcBorders>
            <w:shd w:val="clear" w:color="auto" w:fill="FFFFFF"/>
            <w:vAlign w:val="center"/>
          </w:tcPr>
          <w:p>
            <w:pPr>
              <w:outlineLvl w:val="9"/>
              <w:rPr>
                <w:rFonts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rPr>
              <w:t>10.8</w:t>
            </w:r>
          </w:p>
        </w:tc>
        <w:tc>
          <w:tcPr>
            <w:tcW w:w="1709" w:type="dxa"/>
            <w:tcBorders>
              <w:top w:val="single" w:color="4BACC6" w:sz="8" w:space="0"/>
              <w:left w:val="single" w:color="4BACC6" w:sz="8" w:space="0"/>
              <w:bottom w:val="single" w:color="4BACC6" w:sz="8" w:space="0"/>
              <w:right w:val="single" w:color="4BACC6" w:sz="8" w:space="0"/>
            </w:tcBorders>
            <w:shd w:val="clear" w:color="auto" w:fill="FFFFFF"/>
            <w:vAlign w:val="center"/>
          </w:tcPr>
          <w:p>
            <w:pPr>
              <w:outlineLvl w:val="9"/>
              <w:rPr>
                <w:rFonts w:hint="eastAsia" w:ascii="仿宋_GB2312" w:hAnsi="仿宋_GB2312" w:eastAsia="仿宋_GB2312" w:cs="仿宋_GB2312"/>
                <w:color w:val="000000"/>
                <w:lang w:eastAsia="zh-CN"/>
              </w:rPr>
            </w:pPr>
            <w:r>
              <w:rPr>
                <w:rFonts w:hint="eastAsia" w:ascii="仿宋_GB2312" w:hAnsi="仿宋_GB2312" w:eastAsia="仿宋_GB2312" w:cs="仿宋_GB2312"/>
                <w:color w:val="000000"/>
                <w:lang w:val="en-US" w:eastAsia="zh-CN"/>
              </w:rPr>
              <w:t>9</w:t>
            </w:r>
          </w:p>
        </w:tc>
        <w:tc>
          <w:tcPr>
            <w:tcW w:w="1382" w:type="dxa"/>
            <w:tcBorders>
              <w:top w:val="single" w:color="4BACC6" w:sz="8" w:space="0"/>
              <w:left w:val="single" w:color="4BACC6" w:sz="8" w:space="0"/>
              <w:bottom w:val="single" w:color="4BACC6" w:sz="8" w:space="0"/>
              <w:right w:val="single" w:color="4BACC6" w:sz="8" w:space="0"/>
            </w:tcBorders>
            <w:shd w:val="clear" w:color="auto" w:fill="FFFFFF"/>
            <w:vAlign w:val="center"/>
          </w:tcPr>
          <w:p>
            <w:pPr>
              <w:outlineLvl w:val="9"/>
              <w:rPr>
                <w:rFonts w:hint="default" w:ascii="仿宋_GB2312" w:hAnsi="仿宋_GB2312" w:eastAsia="仿宋_GB2312" w:cs="仿宋_GB2312"/>
                <w:color w:val="000000"/>
                <w:lang w:val="en-US" w:eastAsia="zh-CN"/>
              </w:rPr>
            </w:pPr>
            <w:r>
              <w:rPr>
                <w:rFonts w:hint="eastAsia" w:ascii="仿宋_GB2312" w:hAnsi="仿宋_GB2312" w:eastAsia="仿宋_GB2312" w:cs="仿宋_GB2312"/>
                <w:color w:val="000000"/>
                <w:lang w:val="en-US" w:eastAsia="zh-CN"/>
              </w:rPr>
              <w:t>12.9</w:t>
            </w:r>
          </w:p>
        </w:tc>
        <w:tc>
          <w:tcPr>
            <w:tcW w:w="1137" w:type="dxa"/>
            <w:tcBorders>
              <w:top w:val="single" w:color="4BACC6" w:sz="8" w:space="0"/>
              <w:left w:val="single" w:color="4BACC6" w:sz="8" w:space="0"/>
              <w:bottom w:val="single" w:color="4BACC6" w:sz="8" w:space="0"/>
              <w:right w:val="single" w:color="4BACC6" w:sz="8" w:space="0"/>
            </w:tcBorders>
            <w:shd w:val="clear" w:color="auto" w:fill="FFFFFF"/>
            <w:vAlign w:val="center"/>
          </w:tcPr>
          <w:p>
            <w:pPr>
              <w:outlineLvl w:val="9"/>
              <w:rPr>
                <w:rFonts w:ascii="仿宋_GB2312" w:hAnsi="仿宋_GB2312" w:eastAsia="仿宋_GB2312" w:cs="仿宋_GB2312"/>
                <w:color w:val="000000"/>
              </w:rPr>
            </w:pPr>
            <w:r>
              <w:rPr>
                <w:rFonts w:hint="eastAsia" w:ascii="仿宋_GB2312" w:hAnsi="仿宋_GB2312" w:eastAsia="仿宋_GB2312" w:cs="仿宋_GB2312"/>
                <w:color w:val="000000"/>
                <w:lang w:val="en-US" w:eastAsia="zh-CN"/>
              </w:rPr>
              <w:t>+2.1</w:t>
            </w:r>
            <w:r>
              <w:rPr>
                <w:rFonts w:hint="eastAsia" w:ascii="仿宋_GB2312" w:hAnsi="仿宋_GB2312" w:eastAsia="仿宋_GB2312" w:cs="仿宋_GB2312"/>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09" w:type="dxa"/>
            <w:tcBorders>
              <w:top w:val="single" w:color="4BACC6" w:sz="8" w:space="0"/>
              <w:left w:val="single" w:color="4BACC6" w:sz="8" w:space="0"/>
              <w:bottom w:val="single" w:color="4BACC6" w:sz="8" w:space="0"/>
              <w:right w:val="single" w:color="4BACC6" w:sz="8" w:space="0"/>
            </w:tcBorders>
            <w:shd w:val="clear" w:color="auto" w:fill="B7DDE8"/>
            <w:vAlign w:val="center"/>
          </w:tcPr>
          <w:p>
            <w:pPr>
              <w:outlineLvl w:val="9"/>
              <w:rPr>
                <w:rFonts w:ascii="仿宋_GB2312" w:hAnsi="仿宋_GB2312" w:eastAsia="仿宋_GB2312" w:cs="仿宋_GB2312"/>
                <w:color w:val="000000"/>
              </w:rPr>
            </w:pPr>
            <w:r>
              <w:rPr>
                <w:rFonts w:hint="eastAsia" w:ascii="仿宋_GB2312" w:hAnsi="仿宋_GB2312" w:eastAsia="仿宋_GB2312" w:cs="仿宋_GB2312"/>
                <w:color w:val="000000"/>
              </w:rPr>
              <w:t>本科学历</w:t>
            </w:r>
          </w:p>
        </w:tc>
        <w:tc>
          <w:tcPr>
            <w:tcW w:w="1422" w:type="dxa"/>
            <w:tcBorders>
              <w:top w:val="single" w:color="4BACC6" w:sz="8" w:space="0"/>
              <w:left w:val="single" w:color="4BACC6" w:sz="8" w:space="0"/>
              <w:bottom w:val="single" w:color="4BACC6" w:sz="8" w:space="0"/>
              <w:right w:val="single" w:color="4BACC6" w:sz="8" w:space="0"/>
            </w:tcBorders>
            <w:shd w:val="clear" w:color="auto" w:fill="B7DDE8"/>
            <w:vAlign w:val="center"/>
          </w:tcPr>
          <w:p>
            <w:pPr>
              <w:outlineLvl w:val="9"/>
              <w:rPr>
                <w:rFonts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rPr>
              <w:t>66</w:t>
            </w:r>
          </w:p>
        </w:tc>
        <w:tc>
          <w:tcPr>
            <w:tcW w:w="1279" w:type="dxa"/>
            <w:tcBorders>
              <w:top w:val="single" w:color="4BACC6" w:sz="8" w:space="0"/>
              <w:left w:val="single" w:color="4BACC6" w:sz="8" w:space="0"/>
              <w:bottom w:val="single" w:color="4BACC6" w:sz="8" w:space="0"/>
              <w:right w:val="single" w:color="4BACC6" w:sz="8" w:space="0"/>
            </w:tcBorders>
            <w:shd w:val="clear" w:color="auto" w:fill="B7DDE8"/>
            <w:vAlign w:val="center"/>
          </w:tcPr>
          <w:p>
            <w:pPr>
              <w:outlineLvl w:val="9"/>
              <w:rPr>
                <w:rFonts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rPr>
              <w:t>89.2</w:t>
            </w:r>
          </w:p>
        </w:tc>
        <w:tc>
          <w:tcPr>
            <w:tcW w:w="1709" w:type="dxa"/>
            <w:tcBorders>
              <w:top w:val="single" w:color="4BACC6" w:sz="8" w:space="0"/>
              <w:left w:val="single" w:color="4BACC6" w:sz="8" w:space="0"/>
              <w:bottom w:val="single" w:color="4BACC6" w:sz="8" w:space="0"/>
              <w:right w:val="single" w:color="4BACC6" w:sz="8" w:space="0"/>
            </w:tcBorders>
            <w:shd w:val="clear" w:color="auto" w:fill="B7DDE8"/>
            <w:vAlign w:val="center"/>
          </w:tcPr>
          <w:p>
            <w:pPr>
              <w:outlineLvl w:val="9"/>
              <w:rPr>
                <w:rFonts w:hint="default" w:ascii="仿宋_GB2312" w:hAnsi="仿宋_GB2312" w:eastAsia="仿宋_GB2312" w:cs="仿宋_GB2312"/>
                <w:color w:val="000000"/>
                <w:lang w:val="en-US" w:eastAsia="zh-CN"/>
              </w:rPr>
            </w:pPr>
            <w:r>
              <w:rPr>
                <w:rFonts w:hint="eastAsia" w:ascii="仿宋_GB2312" w:hAnsi="仿宋_GB2312" w:eastAsia="仿宋_GB2312" w:cs="仿宋_GB2312"/>
                <w:color w:val="000000"/>
                <w:lang w:val="en-US" w:eastAsia="zh-CN"/>
              </w:rPr>
              <w:t>61</w:t>
            </w:r>
          </w:p>
        </w:tc>
        <w:tc>
          <w:tcPr>
            <w:tcW w:w="1382" w:type="dxa"/>
            <w:tcBorders>
              <w:top w:val="single" w:color="4BACC6" w:sz="8" w:space="0"/>
              <w:left w:val="single" w:color="4BACC6" w:sz="8" w:space="0"/>
              <w:bottom w:val="single" w:color="4BACC6" w:sz="8" w:space="0"/>
              <w:right w:val="single" w:color="4BACC6" w:sz="8" w:space="0"/>
            </w:tcBorders>
            <w:shd w:val="clear" w:color="auto" w:fill="B7DDE8"/>
            <w:vAlign w:val="center"/>
          </w:tcPr>
          <w:p>
            <w:pPr>
              <w:outlineLvl w:val="9"/>
              <w:rPr>
                <w:rFonts w:hint="default" w:ascii="仿宋_GB2312" w:hAnsi="仿宋_GB2312" w:eastAsia="仿宋_GB2312" w:cs="仿宋_GB2312"/>
                <w:color w:val="000000"/>
                <w:lang w:val="en-US" w:eastAsia="zh-CN"/>
              </w:rPr>
            </w:pPr>
            <w:r>
              <w:rPr>
                <w:rFonts w:hint="eastAsia" w:ascii="仿宋_GB2312" w:hAnsi="仿宋_GB2312" w:eastAsia="仿宋_GB2312" w:cs="仿宋_GB2312"/>
                <w:color w:val="000000"/>
                <w:lang w:val="en-US" w:eastAsia="zh-CN"/>
              </w:rPr>
              <w:t>87.1</w:t>
            </w:r>
          </w:p>
        </w:tc>
        <w:tc>
          <w:tcPr>
            <w:tcW w:w="1137" w:type="dxa"/>
            <w:tcBorders>
              <w:top w:val="single" w:color="4BACC6" w:sz="8" w:space="0"/>
              <w:left w:val="single" w:color="4BACC6" w:sz="8" w:space="0"/>
              <w:bottom w:val="single" w:color="4BACC6" w:sz="8" w:space="0"/>
              <w:right w:val="single" w:color="4BACC6" w:sz="8" w:space="0"/>
            </w:tcBorders>
            <w:shd w:val="clear" w:color="auto" w:fill="B7DDE8"/>
            <w:vAlign w:val="center"/>
          </w:tcPr>
          <w:p>
            <w:pPr>
              <w:outlineLvl w:val="9"/>
              <w:rPr>
                <w:rFonts w:ascii="仿宋_GB2312" w:hAnsi="仿宋_GB2312" w:eastAsia="仿宋_GB2312" w:cs="仿宋_GB2312"/>
                <w:color w:val="000000"/>
              </w:rPr>
            </w:pPr>
            <w:r>
              <w:rPr>
                <w:rFonts w:hint="eastAsia" w:ascii="仿宋_GB2312" w:hAnsi="仿宋_GB2312" w:eastAsia="仿宋_GB2312" w:cs="仿宋_GB2312"/>
                <w:color w:val="000000"/>
                <w:lang w:val="en-US" w:eastAsia="zh-CN"/>
              </w:rPr>
              <w:t>-2.1</w:t>
            </w:r>
            <w:r>
              <w:rPr>
                <w:rFonts w:hint="eastAsia" w:ascii="仿宋_GB2312" w:hAnsi="仿宋_GB2312" w:eastAsia="仿宋_GB2312" w:cs="仿宋_GB2312"/>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09" w:type="dxa"/>
            <w:tcBorders>
              <w:top w:val="single" w:color="4BACC6" w:sz="8" w:space="0"/>
              <w:left w:val="single" w:color="4BACC6" w:sz="8" w:space="0"/>
              <w:bottom w:val="single" w:color="4BACC6" w:sz="8" w:space="0"/>
              <w:right w:val="single" w:color="4BACC6" w:sz="8" w:space="0"/>
            </w:tcBorders>
            <w:shd w:val="clear" w:color="auto" w:fill="FFFFFF"/>
            <w:vAlign w:val="center"/>
          </w:tcPr>
          <w:p>
            <w:pPr>
              <w:outlineLvl w:val="9"/>
              <w:rPr>
                <w:rFonts w:ascii="仿宋_GB2312" w:hAnsi="仿宋_GB2312" w:eastAsia="仿宋_GB2312" w:cs="仿宋_GB2312"/>
                <w:color w:val="000000"/>
              </w:rPr>
            </w:pPr>
            <w:r>
              <w:rPr>
                <w:rFonts w:hint="eastAsia" w:ascii="仿宋_GB2312" w:hAnsi="仿宋_GB2312" w:eastAsia="仿宋_GB2312" w:cs="仿宋_GB2312"/>
                <w:color w:val="000000"/>
              </w:rPr>
              <w:t>校外兼职教师</w:t>
            </w:r>
          </w:p>
        </w:tc>
        <w:tc>
          <w:tcPr>
            <w:tcW w:w="1422" w:type="dxa"/>
            <w:tcBorders>
              <w:top w:val="single" w:color="4BACC6" w:sz="8" w:space="0"/>
              <w:left w:val="single" w:color="4BACC6" w:sz="8" w:space="0"/>
              <w:bottom w:val="single" w:color="4BACC6" w:sz="8" w:space="0"/>
              <w:right w:val="single" w:color="4BACC6" w:sz="8" w:space="0"/>
            </w:tcBorders>
            <w:shd w:val="clear" w:color="auto" w:fill="FFFFFF"/>
            <w:vAlign w:val="center"/>
          </w:tcPr>
          <w:p>
            <w:pPr>
              <w:outlineLvl w:val="9"/>
              <w:rPr>
                <w:rFonts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rPr>
              <w:t>24</w:t>
            </w:r>
          </w:p>
        </w:tc>
        <w:tc>
          <w:tcPr>
            <w:tcW w:w="1279" w:type="dxa"/>
            <w:tcBorders>
              <w:top w:val="single" w:color="4BACC6" w:sz="8" w:space="0"/>
              <w:left w:val="single" w:color="4BACC6" w:sz="8" w:space="0"/>
              <w:bottom w:val="single" w:color="4BACC6" w:sz="8" w:space="0"/>
              <w:right w:val="single" w:color="4BACC6" w:sz="8" w:space="0"/>
            </w:tcBorders>
            <w:shd w:val="clear" w:color="auto" w:fill="FFFFFF"/>
            <w:vAlign w:val="center"/>
          </w:tcPr>
          <w:p>
            <w:pPr>
              <w:outlineLvl w:val="9"/>
              <w:rPr>
                <w:rFonts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rPr>
              <w:t>32.4</w:t>
            </w:r>
          </w:p>
        </w:tc>
        <w:tc>
          <w:tcPr>
            <w:tcW w:w="1709" w:type="dxa"/>
            <w:tcBorders>
              <w:top w:val="single" w:color="4BACC6" w:sz="8" w:space="0"/>
              <w:left w:val="single" w:color="4BACC6" w:sz="8" w:space="0"/>
              <w:bottom w:val="single" w:color="4BACC6" w:sz="8" w:space="0"/>
              <w:right w:val="single" w:color="4BACC6" w:sz="8" w:space="0"/>
            </w:tcBorders>
            <w:shd w:val="clear" w:color="auto" w:fill="FFFFFF"/>
            <w:vAlign w:val="center"/>
          </w:tcPr>
          <w:p>
            <w:pPr>
              <w:outlineLvl w:val="9"/>
              <w:rPr>
                <w:rFonts w:ascii="仿宋_GB2312" w:hAnsi="仿宋_GB2312" w:eastAsia="仿宋_GB2312" w:cs="仿宋_GB2312"/>
                <w:color w:val="000000"/>
              </w:rPr>
            </w:pPr>
            <w:r>
              <w:rPr>
                <w:rFonts w:hint="eastAsia" w:ascii="仿宋_GB2312" w:hAnsi="仿宋_GB2312" w:eastAsia="仿宋_GB2312" w:cs="仿宋_GB2312"/>
                <w:color w:val="000000"/>
              </w:rPr>
              <w:t>24</w:t>
            </w:r>
          </w:p>
        </w:tc>
        <w:tc>
          <w:tcPr>
            <w:tcW w:w="1382" w:type="dxa"/>
            <w:tcBorders>
              <w:top w:val="single" w:color="4BACC6" w:sz="8" w:space="0"/>
              <w:left w:val="single" w:color="4BACC6" w:sz="8" w:space="0"/>
              <w:bottom w:val="single" w:color="4BACC6" w:sz="8" w:space="0"/>
              <w:right w:val="single" w:color="4BACC6" w:sz="8" w:space="0"/>
            </w:tcBorders>
            <w:shd w:val="clear" w:color="auto" w:fill="FFFFFF"/>
            <w:vAlign w:val="center"/>
          </w:tcPr>
          <w:p>
            <w:pPr>
              <w:outlineLvl w:val="9"/>
              <w:rPr>
                <w:rFonts w:hint="default" w:ascii="仿宋_GB2312" w:hAnsi="仿宋_GB2312" w:eastAsia="仿宋_GB2312" w:cs="仿宋_GB2312"/>
                <w:color w:val="000000"/>
                <w:lang w:val="en-US" w:eastAsia="zh-CN"/>
              </w:rPr>
            </w:pPr>
            <w:r>
              <w:rPr>
                <w:rFonts w:hint="eastAsia" w:ascii="仿宋_GB2312" w:hAnsi="仿宋_GB2312" w:eastAsia="仿宋_GB2312" w:cs="仿宋_GB2312"/>
                <w:color w:val="000000"/>
                <w:lang w:val="en-US" w:eastAsia="zh-CN"/>
              </w:rPr>
              <w:t>34.3</w:t>
            </w:r>
          </w:p>
        </w:tc>
        <w:tc>
          <w:tcPr>
            <w:tcW w:w="1137" w:type="dxa"/>
            <w:tcBorders>
              <w:top w:val="single" w:color="4BACC6" w:sz="8" w:space="0"/>
              <w:left w:val="single" w:color="4BACC6" w:sz="8" w:space="0"/>
              <w:bottom w:val="single" w:color="4BACC6" w:sz="8" w:space="0"/>
              <w:right w:val="single" w:color="4BACC6" w:sz="8" w:space="0"/>
            </w:tcBorders>
            <w:shd w:val="clear" w:color="auto" w:fill="FFFFFF"/>
            <w:vAlign w:val="center"/>
          </w:tcPr>
          <w:p>
            <w:pPr>
              <w:outlineLvl w:val="9"/>
              <w:rPr>
                <w:rFonts w:ascii="仿宋_GB2312" w:hAnsi="仿宋_GB2312" w:eastAsia="仿宋_GB2312" w:cs="仿宋_GB2312"/>
                <w:color w:val="000000"/>
              </w:rPr>
            </w:pPr>
            <w:r>
              <w:rPr>
                <w:rFonts w:hint="eastAsia" w:ascii="仿宋_GB2312" w:hAnsi="仿宋_GB2312" w:eastAsia="仿宋_GB2312" w:cs="仿宋_GB2312"/>
                <w:color w:val="000000"/>
              </w:rPr>
              <w:t>+</w:t>
            </w:r>
            <w:r>
              <w:rPr>
                <w:rFonts w:hint="eastAsia" w:ascii="仿宋_GB2312" w:hAnsi="仿宋_GB2312" w:eastAsia="仿宋_GB2312" w:cs="仿宋_GB2312"/>
                <w:color w:val="000000"/>
                <w:lang w:val="en-US" w:eastAsia="zh-CN"/>
              </w:rPr>
              <w:t>1.9</w:t>
            </w:r>
            <w:r>
              <w:rPr>
                <w:rFonts w:hint="eastAsia" w:ascii="仿宋_GB2312" w:hAnsi="仿宋_GB2312" w:eastAsia="仿宋_GB2312" w:cs="仿宋_GB2312"/>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709" w:type="dxa"/>
            <w:tcBorders>
              <w:top w:val="single" w:color="4BACC6" w:sz="8" w:space="0"/>
              <w:left w:val="single" w:color="4BACC6" w:sz="8" w:space="0"/>
              <w:bottom w:val="single" w:color="4BACC6" w:sz="8" w:space="0"/>
              <w:right w:val="single" w:color="4BACC6" w:sz="8" w:space="0"/>
            </w:tcBorders>
            <w:shd w:val="clear" w:color="auto" w:fill="B7DDE8"/>
            <w:vAlign w:val="center"/>
          </w:tcPr>
          <w:p>
            <w:pPr>
              <w:outlineLvl w:val="9"/>
              <w:rPr>
                <w:rFonts w:ascii="仿宋_GB2312" w:hAnsi="仿宋_GB2312" w:eastAsia="仿宋_GB2312" w:cs="仿宋_GB2312"/>
                <w:color w:val="000000"/>
              </w:rPr>
            </w:pPr>
            <w:r>
              <w:rPr>
                <w:rFonts w:hint="eastAsia" w:ascii="仿宋_GB2312" w:hAnsi="仿宋_GB2312" w:eastAsia="仿宋_GB2312" w:cs="仿宋_GB2312"/>
                <w:color w:val="000000"/>
                <w:lang w:eastAsia="zh-CN"/>
              </w:rPr>
              <w:t>生师</w:t>
            </w:r>
            <w:r>
              <w:rPr>
                <w:rFonts w:hint="eastAsia" w:ascii="仿宋_GB2312" w:hAnsi="仿宋_GB2312" w:eastAsia="仿宋_GB2312" w:cs="仿宋_GB2312"/>
                <w:color w:val="000000"/>
              </w:rPr>
              <w:t>比</w:t>
            </w:r>
          </w:p>
        </w:tc>
        <w:tc>
          <w:tcPr>
            <w:tcW w:w="2701" w:type="dxa"/>
            <w:gridSpan w:val="2"/>
            <w:tcBorders>
              <w:top w:val="single" w:color="4BACC6" w:sz="8" w:space="0"/>
              <w:left w:val="single" w:color="4BACC6" w:sz="8" w:space="0"/>
              <w:bottom w:val="single" w:color="4BACC6" w:sz="8" w:space="0"/>
              <w:right w:val="single" w:color="4BACC6" w:sz="8" w:space="0"/>
            </w:tcBorders>
            <w:shd w:val="clear" w:color="auto" w:fill="B7DDE8"/>
            <w:vAlign w:val="center"/>
          </w:tcPr>
          <w:p>
            <w:pPr>
              <w:outlineLvl w:val="9"/>
              <w:rPr>
                <w:rFonts w:hint="default" w:ascii="仿宋_GB2312" w:hAnsi="仿宋_GB2312" w:eastAsia="仿宋_GB2312" w:cs="仿宋_GB2312"/>
                <w:color w:val="000000"/>
                <w:lang w:val="en-US" w:eastAsia="zh-CN"/>
              </w:rPr>
            </w:pPr>
            <w:r>
              <w:rPr>
                <w:rFonts w:hint="eastAsia" w:ascii="仿宋_GB2312" w:hAnsi="仿宋_GB2312" w:eastAsia="仿宋_GB2312" w:cs="仿宋_GB2312"/>
                <w:color w:val="000000"/>
                <w:lang w:val="en-US" w:eastAsia="zh-CN"/>
              </w:rPr>
              <w:t>8.88:1</w:t>
            </w:r>
          </w:p>
        </w:tc>
        <w:tc>
          <w:tcPr>
            <w:tcW w:w="3091" w:type="dxa"/>
            <w:gridSpan w:val="2"/>
            <w:tcBorders>
              <w:top w:val="single" w:color="4BACC6" w:sz="8" w:space="0"/>
              <w:left w:val="single" w:color="4BACC6" w:sz="8" w:space="0"/>
              <w:bottom w:val="single" w:color="4BACC6" w:sz="8" w:space="0"/>
              <w:right w:val="single" w:color="4BACC6" w:sz="8" w:space="0"/>
            </w:tcBorders>
            <w:shd w:val="clear" w:color="auto" w:fill="B7DDE8"/>
            <w:vAlign w:val="center"/>
          </w:tcPr>
          <w:p>
            <w:pPr>
              <w:outlineLvl w:val="9"/>
              <w:rPr>
                <w:rFonts w:hint="default" w:ascii="仿宋_GB2312" w:hAnsi="仿宋_GB2312" w:eastAsia="仿宋_GB2312" w:cs="仿宋_GB2312"/>
                <w:color w:val="000000"/>
                <w:lang w:val="en-US" w:eastAsia="zh-CN"/>
              </w:rPr>
            </w:pPr>
            <w:r>
              <w:rPr>
                <w:rFonts w:hint="eastAsia" w:ascii="仿宋_GB2312" w:hAnsi="仿宋_GB2312" w:eastAsia="仿宋_GB2312" w:cs="仿宋_GB2312"/>
                <w:lang w:val="en-US" w:eastAsia="zh-CN"/>
              </w:rPr>
              <w:t>10.36：1</w:t>
            </w:r>
          </w:p>
        </w:tc>
        <w:tc>
          <w:tcPr>
            <w:tcW w:w="1137" w:type="dxa"/>
            <w:tcBorders>
              <w:top w:val="single" w:color="4BACC6" w:sz="8" w:space="0"/>
              <w:left w:val="single" w:color="4BACC6" w:sz="8" w:space="0"/>
              <w:bottom w:val="single" w:color="4BACC6" w:sz="8" w:space="0"/>
              <w:right w:val="single" w:color="4BACC6" w:sz="8" w:space="0"/>
            </w:tcBorders>
            <w:shd w:val="clear" w:color="auto" w:fill="B7DDE8"/>
            <w:vAlign w:val="center"/>
          </w:tcPr>
          <w:p>
            <w:pPr>
              <w:outlineLvl w:val="9"/>
              <w:rPr>
                <w:rFonts w:hint="default" w:ascii="仿宋_GB2312" w:hAnsi="仿宋_GB2312" w:eastAsia="仿宋_GB2312" w:cs="仿宋_GB2312"/>
                <w:color w:val="000000"/>
                <w:sz w:val="18"/>
                <w:szCs w:val="18"/>
                <w:lang w:val="en-US" w:eastAsia="zh-CN"/>
              </w:rPr>
            </w:pPr>
            <w:r>
              <w:rPr>
                <w:rFonts w:hint="eastAsia" w:ascii="仿宋_GB2312" w:hAnsi="仿宋_GB2312" w:eastAsia="仿宋_GB2312" w:cs="仿宋_GB2312"/>
                <w:color w:val="000000"/>
                <w:lang w:val="en-US" w:eastAsia="zh-CN"/>
              </w:rPr>
              <w:t>+1.48%</w:t>
            </w:r>
          </w:p>
        </w:tc>
      </w:tr>
    </w:tbl>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1"/>
        <w:rPr>
          <w:rFonts w:hint="eastAsia" w:ascii="仿宋_GB2312" w:hAnsi="Times New Roman" w:eastAsia="仿宋_GB2312" w:cs="Times New Roman"/>
          <w:b/>
          <w:bCs/>
          <w:kern w:val="2"/>
          <w:sz w:val="28"/>
          <w:szCs w:val="28"/>
          <w:lang w:val="en-US" w:eastAsia="zh-CN" w:bidi="ar-SA"/>
        </w:rPr>
      </w:pPr>
      <w:bookmarkStart w:id="22" w:name="_Toc11526"/>
      <w:bookmarkStart w:id="23" w:name="_Toc3294"/>
      <w:r>
        <w:rPr>
          <w:rFonts w:hint="eastAsia" w:ascii="仿宋_GB2312" w:hAnsi="Times New Roman" w:eastAsia="仿宋_GB2312" w:cs="Times New Roman"/>
          <w:b/>
          <w:bCs/>
          <w:kern w:val="2"/>
          <w:sz w:val="28"/>
          <w:szCs w:val="28"/>
          <w:lang w:val="en-US" w:eastAsia="zh-CN" w:bidi="ar-SA"/>
        </w:rPr>
        <w:t>1.5实训条件</w:t>
      </w:r>
      <w:bookmarkEnd w:id="22"/>
      <w:bookmarkEnd w:id="23"/>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b/>
          <w:bCs/>
          <w:sz w:val="28"/>
          <w:szCs w:val="28"/>
        </w:rPr>
      </w:pPr>
      <w:r>
        <w:rPr>
          <w:rFonts w:hint="eastAsia" w:ascii="仿宋_GB2312" w:hAnsi="Times New Roman" w:eastAsia="仿宋_GB2312"/>
          <w:sz w:val="28"/>
          <w:szCs w:val="28"/>
          <w:lang w:eastAsia="uk-UA"/>
        </w:rPr>
        <w:t>截至20</w:t>
      </w:r>
      <w:r>
        <w:rPr>
          <w:rFonts w:hint="eastAsia" w:ascii="仿宋_GB2312" w:hAnsi="Times New Roman" w:eastAsia="仿宋_GB2312"/>
          <w:sz w:val="28"/>
          <w:szCs w:val="28"/>
          <w:lang w:val="en-US" w:eastAsia="zh-CN"/>
        </w:rPr>
        <w:t>21</w:t>
      </w:r>
      <w:r>
        <w:rPr>
          <w:rFonts w:hint="eastAsia" w:ascii="仿宋_GB2312" w:hAnsi="Times New Roman" w:eastAsia="仿宋_GB2312"/>
          <w:sz w:val="28"/>
          <w:szCs w:val="28"/>
          <w:lang w:eastAsia="uk-UA"/>
        </w:rPr>
        <w:t>年1</w:t>
      </w:r>
      <w:r>
        <w:rPr>
          <w:rFonts w:hint="eastAsia" w:ascii="仿宋_GB2312" w:hAnsi="Times New Roman" w:eastAsia="仿宋_GB2312"/>
          <w:sz w:val="28"/>
          <w:szCs w:val="28"/>
          <w:lang w:val="en-US" w:eastAsia="zh-CN"/>
        </w:rPr>
        <w:t>0</w:t>
      </w:r>
      <w:r>
        <w:rPr>
          <w:rFonts w:hint="eastAsia" w:ascii="仿宋_GB2312" w:hAnsi="Times New Roman" w:eastAsia="仿宋_GB2312"/>
          <w:sz w:val="28"/>
          <w:szCs w:val="28"/>
          <w:lang w:eastAsia="uk-UA"/>
        </w:rPr>
        <w:t>月</w:t>
      </w:r>
      <w:r>
        <w:rPr>
          <w:rFonts w:hint="eastAsia" w:ascii="仿宋_GB2312" w:hAnsi="Times New Roman" w:eastAsia="仿宋_GB2312"/>
          <w:sz w:val="28"/>
          <w:szCs w:val="28"/>
          <w:lang w:eastAsia="zh-CN"/>
        </w:rPr>
        <w:t>底</w:t>
      </w:r>
      <w:r>
        <w:rPr>
          <w:rFonts w:hint="eastAsia" w:ascii="仿宋_GB2312" w:hAnsi="Times New Roman" w:eastAsia="仿宋_GB2312"/>
          <w:sz w:val="28"/>
          <w:szCs w:val="28"/>
          <w:lang w:eastAsia="uk-UA"/>
        </w:rPr>
        <w:t>，学校</w:t>
      </w:r>
      <w:r>
        <w:rPr>
          <w:rFonts w:hint="eastAsia" w:ascii="仿宋_GB2312" w:hAnsi="Times New Roman" w:eastAsia="仿宋_GB2312"/>
          <w:sz w:val="28"/>
          <w:szCs w:val="28"/>
          <w:lang w:eastAsia="zh-CN"/>
        </w:rPr>
        <w:t>拥有</w:t>
      </w:r>
      <w:r>
        <w:rPr>
          <w:rFonts w:hint="eastAsia" w:ascii="仿宋_GB2312" w:hAnsi="Times New Roman" w:eastAsia="仿宋_GB2312"/>
          <w:sz w:val="28"/>
          <w:szCs w:val="28"/>
          <w:lang w:eastAsia="uk-UA"/>
        </w:rPr>
        <w:t>固定资产</w:t>
      </w:r>
      <w:r>
        <w:rPr>
          <w:rFonts w:hint="eastAsia" w:ascii="仿宋_GB2312" w:hAnsi="Times New Roman" w:eastAsia="仿宋_GB2312"/>
          <w:sz w:val="28"/>
          <w:szCs w:val="28"/>
          <w:lang w:val="en-US" w:eastAsia="zh-CN"/>
        </w:rPr>
        <w:t>原值2097</w:t>
      </w:r>
      <w:r>
        <w:rPr>
          <w:rFonts w:hint="eastAsia" w:ascii="仿宋_GB2312" w:hAnsi="Times New Roman" w:eastAsia="仿宋_GB2312"/>
          <w:sz w:val="28"/>
          <w:szCs w:val="28"/>
          <w:lang w:eastAsia="uk-UA"/>
        </w:rPr>
        <w:t>万元，教学</w:t>
      </w:r>
      <w:r>
        <w:rPr>
          <w:rFonts w:hint="eastAsia" w:ascii="仿宋_GB2312" w:hAnsi="Times New Roman" w:eastAsia="仿宋_GB2312"/>
          <w:sz w:val="28"/>
          <w:szCs w:val="28"/>
          <w:lang w:eastAsia="zh-CN"/>
        </w:rPr>
        <w:t>训练</w:t>
      </w:r>
      <w:r>
        <w:rPr>
          <w:rFonts w:hint="eastAsia" w:ascii="仿宋_GB2312" w:hAnsi="Times New Roman" w:eastAsia="仿宋_GB2312"/>
          <w:sz w:val="28"/>
          <w:szCs w:val="28"/>
          <w:lang w:eastAsia="uk-UA"/>
        </w:rPr>
        <w:t>仪器设备总值</w:t>
      </w:r>
      <w:r>
        <w:rPr>
          <w:rFonts w:hint="eastAsia" w:ascii="仿宋_GB2312" w:hAnsi="Times New Roman" w:eastAsia="仿宋_GB2312"/>
          <w:sz w:val="28"/>
          <w:szCs w:val="28"/>
          <w:lang w:val="en-US" w:eastAsia="zh-CN"/>
        </w:rPr>
        <w:t>1332</w:t>
      </w:r>
      <w:r>
        <w:rPr>
          <w:rFonts w:hint="eastAsia" w:ascii="仿宋_GB2312" w:hAnsi="Times New Roman" w:eastAsia="仿宋_GB2312"/>
          <w:sz w:val="28"/>
          <w:szCs w:val="28"/>
          <w:lang w:eastAsia="uk-UA"/>
        </w:rPr>
        <w:t>万元</w:t>
      </w:r>
      <w:r>
        <w:rPr>
          <w:rFonts w:hint="eastAsia" w:ascii="仿宋_GB2312" w:hAnsi="Times New Roman" w:eastAsia="仿宋_GB2312"/>
          <w:sz w:val="28"/>
          <w:szCs w:val="28"/>
          <w:lang w:eastAsia="zh-CN"/>
        </w:rPr>
        <w:t>，</w:t>
      </w:r>
      <w:r>
        <w:rPr>
          <w:rFonts w:hint="eastAsia" w:ascii="仿宋_GB2312" w:hAnsi="Times New Roman" w:eastAsia="仿宋_GB2312"/>
          <w:sz w:val="28"/>
          <w:szCs w:val="28"/>
          <w:lang w:eastAsia="uk-UA"/>
        </w:rPr>
        <w:t>生均教学</w:t>
      </w:r>
      <w:r>
        <w:rPr>
          <w:rFonts w:hint="eastAsia" w:ascii="仿宋_GB2312" w:hAnsi="Times New Roman" w:eastAsia="仿宋_GB2312"/>
          <w:sz w:val="28"/>
          <w:szCs w:val="28"/>
          <w:lang w:eastAsia="zh-CN"/>
        </w:rPr>
        <w:t>训练</w:t>
      </w:r>
      <w:r>
        <w:rPr>
          <w:rFonts w:hint="eastAsia" w:ascii="仿宋_GB2312" w:hAnsi="Times New Roman" w:eastAsia="仿宋_GB2312"/>
          <w:sz w:val="28"/>
          <w:szCs w:val="28"/>
          <w:lang w:eastAsia="uk-UA"/>
        </w:rPr>
        <w:t>仪器设备值1</w:t>
      </w:r>
      <w:r>
        <w:rPr>
          <w:rFonts w:hint="eastAsia" w:ascii="仿宋_GB2312" w:hAnsi="Times New Roman" w:eastAsia="仿宋_GB2312"/>
          <w:sz w:val="28"/>
          <w:szCs w:val="28"/>
          <w:lang w:val="en-US" w:eastAsia="zh-CN"/>
        </w:rPr>
        <w:t>.8万</w:t>
      </w:r>
      <w:r>
        <w:rPr>
          <w:rFonts w:hint="eastAsia" w:ascii="仿宋_GB2312" w:hAnsi="Times New Roman" w:eastAsia="仿宋_GB2312"/>
          <w:sz w:val="28"/>
          <w:szCs w:val="28"/>
          <w:lang w:eastAsia="uk-UA"/>
        </w:rPr>
        <w:t>元/人</w:t>
      </w:r>
      <w:r>
        <w:rPr>
          <w:rFonts w:hint="eastAsia" w:ascii="仿宋_GB2312" w:hAnsi="Times New Roman" w:eastAsia="仿宋_GB2312"/>
          <w:sz w:val="28"/>
          <w:szCs w:val="28"/>
          <w:lang w:eastAsia="zh-CN"/>
        </w:rPr>
        <w:t>，生均财政拨款</w:t>
      </w:r>
      <w:r>
        <w:rPr>
          <w:rFonts w:hint="eastAsia" w:ascii="仿宋_GB2312" w:hAnsi="Times New Roman" w:eastAsia="仿宋_GB2312"/>
          <w:sz w:val="28"/>
          <w:szCs w:val="28"/>
          <w:lang w:val="en-US" w:eastAsia="zh-CN"/>
        </w:rPr>
        <w:t>32279元</w:t>
      </w:r>
      <w:r>
        <w:rPr>
          <w:rFonts w:hint="eastAsia" w:ascii="仿宋_GB2312" w:hAnsi="Times New Roman" w:eastAsia="仿宋_GB2312"/>
          <w:sz w:val="28"/>
          <w:szCs w:val="28"/>
          <w:lang w:eastAsia="zh-CN"/>
        </w:rPr>
        <w:t>。</w:t>
      </w:r>
      <w:r>
        <w:rPr>
          <w:rFonts w:hint="eastAsia" w:ascii="仿宋_GB2312" w:hAnsi="Times New Roman" w:eastAsia="仿宋_GB2312"/>
          <w:sz w:val="28"/>
          <w:szCs w:val="28"/>
        </w:rPr>
        <w:t>实习实训</w:t>
      </w:r>
      <w:r>
        <w:rPr>
          <w:rFonts w:hint="eastAsia" w:ascii="仿宋_GB2312" w:hAnsi="Times New Roman" w:eastAsia="仿宋_GB2312"/>
          <w:sz w:val="28"/>
          <w:szCs w:val="28"/>
          <w:lang w:val="en-US" w:eastAsia="zh-CN"/>
        </w:rPr>
        <w:t>设施</w:t>
      </w:r>
      <w:r>
        <w:rPr>
          <w:rFonts w:hint="eastAsia" w:ascii="仿宋_GB2312" w:hAnsi="Times New Roman" w:eastAsia="仿宋_GB2312"/>
          <w:sz w:val="28"/>
          <w:szCs w:val="28"/>
        </w:rPr>
        <w:t>设备包括各项目训练馆、训练场、训练设施设备；</w:t>
      </w:r>
      <w:r>
        <w:rPr>
          <w:rFonts w:hint="eastAsia" w:ascii="仿宋_GB2312" w:hAnsi="Times New Roman" w:eastAsia="仿宋_GB2312"/>
          <w:sz w:val="28"/>
          <w:szCs w:val="28"/>
          <w:lang w:val="en-US" w:eastAsia="zh-CN"/>
        </w:rPr>
        <w:t>物理、化学、生物</w:t>
      </w:r>
      <w:r>
        <w:rPr>
          <w:rFonts w:hint="eastAsia" w:ascii="仿宋_GB2312" w:hAnsi="Times New Roman" w:eastAsia="仿宋_GB2312"/>
          <w:sz w:val="28"/>
          <w:szCs w:val="28"/>
        </w:rPr>
        <w:t>实验室、计算机室、多功能电教室、图书馆、康复实训室等，设备使用率为100%。</w:t>
      </w:r>
      <w:r>
        <w:rPr>
          <w:rFonts w:hint="eastAsia" w:ascii="仿宋_GB2312" w:hAnsi="Times New Roman" w:eastAsia="仿宋_GB2312"/>
          <w:sz w:val="28"/>
          <w:szCs w:val="28"/>
          <w:lang w:eastAsia="zh-CN"/>
        </w:rPr>
        <w:t>各运动</w:t>
      </w:r>
      <w:r>
        <w:rPr>
          <w:rFonts w:hint="eastAsia" w:ascii="仿宋_GB2312" w:hAnsi="Times New Roman" w:eastAsia="仿宋_GB2312"/>
          <w:sz w:val="28"/>
          <w:szCs w:val="28"/>
        </w:rPr>
        <w:t>项目训练器材每年进行维修补充。</w:t>
      </w:r>
      <w:r>
        <w:rPr>
          <w:rFonts w:hint="eastAsia" w:ascii="仿宋_GB2312" w:hAnsi="Times New Roman" w:eastAsia="仿宋_GB2312"/>
          <w:sz w:val="28"/>
          <w:szCs w:val="28"/>
          <w:lang w:eastAsia="zh-CN"/>
        </w:rPr>
        <w:t>学校</w:t>
      </w:r>
      <w:r>
        <w:rPr>
          <w:rFonts w:hint="eastAsia" w:ascii="仿宋_GB2312" w:hAnsi="Times New Roman" w:eastAsia="仿宋_GB2312"/>
          <w:sz w:val="28"/>
          <w:szCs w:val="28"/>
        </w:rPr>
        <w:t>有纸质图书24</w:t>
      </w:r>
      <w:r>
        <w:rPr>
          <w:rFonts w:hint="eastAsia" w:ascii="仿宋_GB2312" w:hAnsi="Times New Roman" w:eastAsia="仿宋_GB2312"/>
          <w:sz w:val="28"/>
          <w:szCs w:val="28"/>
          <w:lang w:val="en-US" w:eastAsia="zh-CN"/>
        </w:rPr>
        <w:t>280</w:t>
      </w:r>
      <w:r>
        <w:rPr>
          <w:rFonts w:hint="eastAsia" w:ascii="仿宋_GB2312" w:hAnsi="Times New Roman" w:eastAsia="仿宋_GB2312"/>
          <w:sz w:val="28"/>
          <w:szCs w:val="28"/>
        </w:rPr>
        <w:t>册，</w:t>
      </w:r>
      <w:r>
        <w:rPr>
          <w:rFonts w:hint="eastAsia" w:ascii="仿宋_GB2312" w:hAnsi="Times New Roman" w:eastAsia="仿宋_GB2312"/>
          <w:sz w:val="28"/>
          <w:szCs w:val="28"/>
          <w:lang w:eastAsia="zh-CN"/>
        </w:rPr>
        <w:t>电子图书</w:t>
      </w:r>
      <w:r>
        <w:rPr>
          <w:rFonts w:hint="eastAsia" w:ascii="仿宋_GB2312" w:hAnsi="Times New Roman" w:eastAsia="仿宋_GB2312"/>
          <w:sz w:val="28"/>
          <w:szCs w:val="28"/>
          <w:lang w:val="en-US" w:eastAsia="zh-CN"/>
        </w:rPr>
        <w:t>12000册，</w:t>
      </w:r>
      <w:r>
        <w:rPr>
          <w:rFonts w:hint="eastAsia" w:ascii="仿宋_GB2312" w:hAnsi="Times New Roman" w:eastAsia="仿宋_GB2312"/>
          <w:sz w:val="28"/>
          <w:szCs w:val="28"/>
        </w:rPr>
        <w:t>生均</w:t>
      </w:r>
      <w:r>
        <w:rPr>
          <w:rFonts w:hint="eastAsia" w:ascii="仿宋_GB2312" w:hAnsi="Times New Roman" w:eastAsia="仿宋_GB2312"/>
          <w:sz w:val="28"/>
          <w:szCs w:val="28"/>
          <w:lang w:eastAsia="zh-CN"/>
        </w:rPr>
        <w:t>纸质</w:t>
      </w:r>
      <w:r>
        <w:rPr>
          <w:rFonts w:hint="eastAsia" w:ascii="仿宋_GB2312" w:hAnsi="Times New Roman" w:eastAsia="仿宋_GB2312"/>
          <w:sz w:val="28"/>
          <w:szCs w:val="28"/>
        </w:rPr>
        <w:t>图书为</w:t>
      </w:r>
      <w:r>
        <w:rPr>
          <w:rFonts w:hint="eastAsia" w:ascii="仿宋_GB2312" w:hAnsi="Times New Roman" w:eastAsia="仿宋_GB2312"/>
          <w:sz w:val="28"/>
          <w:szCs w:val="28"/>
          <w:lang w:val="en-US" w:eastAsia="zh-CN"/>
        </w:rPr>
        <w:t>33</w:t>
      </w:r>
      <w:r>
        <w:rPr>
          <w:rFonts w:hint="eastAsia" w:ascii="仿宋_GB2312" w:hAnsi="Times New Roman" w:eastAsia="仿宋_GB2312"/>
          <w:sz w:val="28"/>
          <w:szCs w:val="28"/>
        </w:rPr>
        <w:t>册</w:t>
      </w:r>
      <w:r>
        <w:rPr>
          <w:rFonts w:hint="eastAsia" w:ascii="仿宋_GB2312" w:hAnsi="Times New Roman" w:eastAsia="仿宋_GB2312"/>
          <w:sz w:val="28"/>
          <w:szCs w:val="28"/>
          <w:lang w:eastAsia="zh-CN"/>
        </w:rPr>
        <w:t>。</w:t>
      </w:r>
    </w:p>
    <w:p>
      <w:pPr>
        <w:jc w:val="center"/>
        <w:rPr>
          <w:rFonts w:hint="eastAsia" w:ascii="仿宋_GB2312" w:hAnsi="Times New Roman" w:eastAsia="仿宋_GB2312"/>
          <w:b/>
          <w:bCs/>
          <w:sz w:val="28"/>
          <w:szCs w:val="28"/>
        </w:rPr>
      </w:pPr>
      <w:r>
        <w:rPr>
          <w:rFonts w:hint="eastAsia" w:ascii="仿宋_GB2312" w:hAnsi="Times New Roman" w:eastAsia="仿宋_GB2312"/>
          <w:b/>
          <w:bCs/>
          <w:sz w:val="28"/>
          <w:szCs w:val="28"/>
        </w:rPr>
        <w:t>教学仪器设备设施情况比对表</w:t>
      </w:r>
    </w:p>
    <w:tbl>
      <w:tblPr>
        <w:tblStyle w:val="14"/>
        <w:tblW w:w="8298" w:type="dxa"/>
        <w:tblInd w:w="108" w:type="dxa"/>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
      <w:tblGrid>
        <w:gridCol w:w="1573"/>
        <w:gridCol w:w="1680"/>
        <w:gridCol w:w="1779"/>
        <w:gridCol w:w="1584"/>
        <w:gridCol w:w="1682"/>
      </w:tblGrid>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PrEx>
        <w:trPr>
          <w:trHeight w:val="728" w:hRule="atLeast"/>
        </w:trPr>
        <w:tc>
          <w:tcPr>
            <w:tcW w:w="1573" w:type="dxa"/>
            <w:vMerge w:val="restart"/>
            <w:tcBorders>
              <w:top w:val="single" w:color="F79646" w:sz="8" w:space="0"/>
              <w:left w:val="single" w:color="F79646" w:sz="8" w:space="0"/>
              <w:bottom w:val="single" w:color="F79646" w:sz="8" w:space="0"/>
              <w:right w:val="dotted" w:color="auto" w:sz="18" w:space="0"/>
            </w:tcBorders>
            <w:shd w:val="pct5" w:color="000000" w:fill="F79646"/>
            <w:vAlign w:val="center"/>
          </w:tcPr>
          <w:p>
            <w:pPr>
              <w:jc w:val="center"/>
              <w:rPr>
                <w:rFonts w:ascii="仿宋_GB2312" w:hAnsi="仿宋_GB2312" w:eastAsia="仿宋_GB2312" w:cs="仿宋_GB2312"/>
                <w:color w:val="FFFFFF"/>
              </w:rPr>
            </w:pPr>
            <w:r>
              <w:rPr>
                <w:rFonts w:hint="eastAsia" w:ascii="仿宋_GB2312" w:hAnsi="仿宋_GB2312" w:eastAsia="仿宋_GB2312" w:cs="仿宋_GB2312"/>
                <w:color w:val="FFFFFF"/>
              </w:rPr>
              <w:t>年份</w:t>
            </w:r>
          </w:p>
        </w:tc>
        <w:tc>
          <w:tcPr>
            <w:tcW w:w="3459" w:type="dxa"/>
            <w:gridSpan w:val="2"/>
            <w:tcBorders>
              <w:top w:val="single" w:color="F79646" w:sz="8" w:space="0"/>
              <w:left w:val="dotted" w:color="auto" w:sz="18" w:space="0"/>
              <w:bottom w:val="single" w:color="F79646" w:sz="8" w:space="0"/>
              <w:right w:val="dotted" w:color="auto" w:sz="18" w:space="0"/>
            </w:tcBorders>
            <w:shd w:val="pct5" w:color="000000" w:fill="F79646"/>
            <w:vAlign w:val="center"/>
          </w:tcPr>
          <w:p>
            <w:pPr>
              <w:jc w:val="center"/>
              <w:rPr>
                <w:rFonts w:ascii="仿宋_GB2312" w:hAnsi="仿宋_GB2312" w:eastAsia="仿宋_GB2312" w:cs="仿宋_GB2312"/>
                <w:color w:val="FFFFFF"/>
              </w:rPr>
            </w:pPr>
            <w:r>
              <w:rPr>
                <w:rFonts w:hint="eastAsia" w:ascii="仿宋_GB2312" w:hAnsi="仿宋_GB2312" w:eastAsia="仿宋_GB2312" w:cs="仿宋_GB2312"/>
                <w:color w:val="FFFFFF"/>
              </w:rPr>
              <w:t>教学仪器设备（单位：万元）</w:t>
            </w:r>
          </w:p>
        </w:tc>
        <w:tc>
          <w:tcPr>
            <w:tcW w:w="3266" w:type="dxa"/>
            <w:gridSpan w:val="2"/>
            <w:shd w:val="pct5" w:color="000000" w:fill="F79646"/>
            <w:vAlign w:val="center"/>
          </w:tcPr>
          <w:p>
            <w:pPr>
              <w:jc w:val="center"/>
              <w:rPr>
                <w:rFonts w:ascii="仿宋_GB2312" w:hAnsi="仿宋_GB2312" w:eastAsia="仿宋_GB2312" w:cs="仿宋_GB2312"/>
                <w:color w:val="FFFFFF"/>
              </w:rPr>
            </w:pPr>
            <w:r>
              <w:rPr>
                <w:rFonts w:hint="eastAsia" w:ascii="仿宋_GB2312" w:hAnsi="仿宋_GB2312" w:eastAsia="仿宋_GB2312" w:cs="仿宋_GB2312"/>
                <w:color w:val="FFFFFF"/>
              </w:rPr>
              <w:t>纸质图书（单位：册）</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CellMar>
            <w:top w:w="0" w:type="dxa"/>
            <w:left w:w="108" w:type="dxa"/>
            <w:bottom w:w="0" w:type="dxa"/>
            <w:right w:w="108" w:type="dxa"/>
          </w:tblCellMar>
        </w:tblPrEx>
        <w:trPr>
          <w:trHeight w:val="910" w:hRule="atLeast"/>
        </w:trPr>
        <w:tc>
          <w:tcPr>
            <w:tcW w:w="1573" w:type="dxa"/>
            <w:vMerge w:val="continue"/>
            <w:tcBorders>
              <w:top w:val="single" w:color="F79646" w:sz="8" w:space="0"/>
              <w:left w:val="single" w:color="F79646" w:sz="8" w:space="0"/>
              <w:bottom w:val="single" w:color="F79646" w:sz="8" w:space="0"/>
              <w:right w:val="dotted" w:color="auto" w:sz="18" w:space="0"/>
            </w:tcBorders>
            <w:shd w:val="pct20" w:color="000000" w:fill="FFFFFF"/>
            <w:vAlign w:val="center"/>
          </w:tcPr>
          <w:p>
            <w:pPr>
              <w:jc w:val="center"/>
              <w:rPr>
                <w:rFonts w:ascii="仿宋_GB2312" w:hAnsi="仿宋_GB2312" w:eastAsia="仿宋_GB2312" w:cs="仿宋_GB2312"/>
                <w:color w:val="000000"/>
              </w:rPr>
            </w:pPr>
          </w:p>
        </w:tc>
        <w:tc>
          <w:tcPr>
            <w:tcW w:w="1680" w:type="dxa"/>
            <w:tcBorders>
              <w:top w:val="single" w:color="F79646" w:sz="8" w:space="0"/>
              <w:left w:val="dotted" w:color="auto" w:sz="18" w:space="0"/>
              <w:bottom w:val="single" w:color="F79646" w:sz="8" w:space="0"/>
              <w:right w:val="dotted" w:color="auto" w:sz="18" w:space="0"/>
            </w:tcBorders>
            <w:shd w:val="pct20" w:color="000000"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总值</w:t>
            </w:r>
          </w:p>
        </w:tc>
        <w:tc>
          <w:tcPr>
            <w:tcW w:w="1779" w:type="dxa"/>
            <w:tcBorders>
              <w:top w:val="single" w:color="F79646" w:sz="8" w:space="0"/>
              <w:left w:val="dotted" w:color="auto" w:sz="18" w:space="0"/>
              <w:bottom w:val="single" w:color="F79646" w:sz="8" w:space="0"/>
              <w:right w:val="dotted" w:color="auto" w:sz="18" w:space="0"/>
            </w:tcBorders>
            <w:shd w:val="pct20" w:color="000000"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生均</w:t>
            </w:r>
          </w:p>
        </w:tc>
        <w:tc>
          <w:tcPr>
            <w:tcW w:w="1584" w:type="dxa"/>
            <w:tcBorders>
              <w:top w:val="single" w:color="F79646" w:sz="8" w:space="0"/>
              <w:left w:val="dotted" w:color="auto" w:sz="18" w:space="0"/>
              <w:bottom w:val="single" w:color="F79646" w:sz="8" w:space="0"/>
              <w:right w:val="dotted" w:color="auto" w:sz="18" w:space="0"/>
            </w:tcBorders>
            <w:shd w:val="pct20" w:color="000000"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总数</w:t>
            </w:r>
          </w:p>
        </w:tc>
        <w:tc>
          <w:tcPr>
            <w:tcW w:w="1682" w:type="dxa"/>
            <w:tcBorders>
              <w:top w:val="single" w:color="F79646" w:sz="8" w:space="0"/>
              <w:left w:val="dotted" w:color="auto" w:sz="18" w:space="0"/>
              <w:bottom w:val="single" w:color="F79646" w:sz="8" w:space="0"/>
              <w:right w:val="single" w:color="F79646" w:sz="8" w:space="0"/>
            </w:tcBorders>
            <w:shd w:val="pct20" w:color="000000"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生均</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PrEx>
        <w:trPr>
          <w:trHeight w:val="804" w:hRule="atLeast"/>
        </w:trPr>
        <w:tc>
          <w:tcPr>
            <w:tcW w:w="1573" w:type="dxa"/>
            <w:tcBorders>
              <w:top w:val="single" w:color="F79646" w:sz="8" w:space="0"/>
              <w:left w:val="single" w:color="F79646" w:sz="8" w:space="0"/>
              <w:bottom w:val="single" w:color="F79646" w:sz="8" w:space="0"/>
              <w:right w:val="dotted" w:color="auto" w:sz="18" w:space="0"/>
            </w:tcBorders>
            <w:shd w:val="pct5" w:color="000000"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2020年</w:t>
            </w:r>
          </w:p>
        </w:tc>
        <w:tc>
          <w:tcPr>
            <w:tcW w:w="1680" w:type="dxa"/>
            <w:tcBorders>
              <w:top w:val="single" w:color="F79646" w:sz="8" w:space="0"/>
              <w:left w:val="dotted" w:color="auto" w:sz="18" w:space="0"/>
              <w:bottom w:val="single" w:color="F79646" w:sz="8" w:space="0"/>
              <w:right w:val="dotted" w:color="auto" w:sz="18" w:space="0"/>
            </w:tcBorders>
            <w:shd w:val="pct5" w:color="000000"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1184</w:t>
            </w:r>
          </w:p>
        </w:tc>
        <w:tc>
          <w:tcPr>
            <w:tcW w:w="1779" w:type="dxa"/>
            <w:tcBorders>
              <w:top w:val="single" w:color="F79646" w:sz="8" w:space="0"/>
              <w:left w:val="dotted" w:color="auto" w:sz="18" w:space="0"/>
              <w:bottom w:val="single" w:color="F79646" w:sz="8" w:space="0"/>
              <w:right w:val="dotted" w:color="auto" w:sz="18" w:space="0"/>
            </w:tcBorders>
            <w:shd w:val="pct5" w:color="000000" w:fill="FFFFFF"/>
            <w:vAlign w:val="center"/>
          </w:tcPr>
          <w:p>
            <w:pPr>
              <w:jc w:val="center"/>
              <w:rPr>
                <w:rFonts w:hint="eastAsia" w:ascii="仿宋_GB2312" w:hAnsi="仿宋_GB2312" w:eastAsia="仿宋_GB2312" w:cs="仿宋_GB2312"/>
                <w:color w:val="000000"/>
                <w:lang w:val="en-US" w:eastAsia="zh-CN"/>
              </w:rPr>
            </w:pPr>
            <w:r>
              <w:rPr>
                <w:rFonts w:hint="eastAsia" w:ascii="仿宋_GB2312" w:hAnsi="仿宋_GB2312" w:eastAsia="仿宋_GB2312" w:cs="仿宋_GB2312"/>
                <w:color w:val="000000"/>
              </w:rPr>
              <w:t>1.8</w:t>
            </w:r>
            <w:r>
              <w:rPr>
                <w:rFonts w:hint="eastAsia" w:ascii="仿宋_GB2312" w:hAnsi="仿宋_GB2312" w:eastAsia="仿宋_GB2312" w:cs="仿宋_GB2312"/>
                <w:color w:val="000000"/>
                <w:lang w:val="en-US" w:eastAsia="zh-CN"/>
              </w:rPr>
              <w:t>0</w:t>
            </w:r>
          </w:p>
        </w:tc>
        <w:tc>
          <w:tcPr>
            <w:tcW w:w="1584" w:type="dxa"/>
            <w:tcBorders>
              <w:top w:val="single" w:color="F79646" w:sz="8" w:space="0"/>
              <w:left w:val="dotted" w:color="auto" w:sz="18" w:space="0"/>
              <w:bottom w:val="single" w:color="F79646" w:sz="8" w:space="0"/>
              <w:right w:val="dotted" w:color="auto" w:sz="18" w:space="0"/>
            </w:tcBorders>
            <w:shd w:val="pct5" w:color="000000"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24267</w:t>
            </w:r>
          </w:p>
        </w:tc>
        <w:tc>
          <w:tcPr>
            <w:tcW w:w="1682" w:type="dxa"/>
            <w:tcBorders>
              <w:top w:val="single" w:color="F79646" w:sz="8" w:space="0"/>
              <w:left w:val="dotted" w:color="auto" w:sz="18" w:space="0"/>
              <w:bottom w:val="single" w:color="F79646" w:sz="8" w:space="0"/>
              <w:right w:val="single" w:color="F79646" w:sz="8" w:space="0"/>
            </w:tcBorders>
            <w:shd w:val="pct5" w:color="000000"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37</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PrEx>
        <w:trPr>
          <w:trHeight w:val="888" w:hRule="atLeast"/>
        </w:trPr>
        <w:tc>
          <w:tcPr>
            <w:tcW w:w="1573" w:type="dxa"/>
            <w:tcBorders>
              <w:top w:val="single" w:color="F79646" w:sz="8" w:space="0"/>
              <w:left w:val="single" w:color="F79646" w:sz="8" w:space="0"/>
              <w:bottom w:val="single" w:color="F79646" w:sz="8" w:space="0"/>
              <w:right w:val="dotted" w:color="auto" w:sz="18" w:space="0"/>
            </w:tcBorders>
            <w:shd w:val="pct20" w:color="000000"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202</w:t>
            </w:r>
            <w:r>
              <w:rPr>
                <w:rFonts w:hint="eastAsia" w:ascii="仿宋_GB2312" w:hAnsi="仿宋_GB2312" w:eastAsia="仿宋_GB2312" w:cs="仿宋_GB2312"/>
                <w:color w:val="000000"/>
                <w:lang w:val="en-US" w:eastAsia="zh-CN"/>
              </w:rPr>
              <w:t>1</w:t>
            </w:r>
            <w:r>
              <w:rPr>
                <w:rFonts w:hint="eastAsia" w:ascii="仿宋_GB2312" w:hAnsi="仿宋_GB2312" w:eastAsia="仿宋_GB2312" w:cs="仿宋_GB2312"/>
                <w:color w:val="000000"/>
              </w:rPr>
              <w:t>年</w:t>
            </w:r>
          </w:p>
        </w:tc>
        <w:tc>
          <w:tcPr>
            <w:tcW w:w="1680" w:type="dxa"/>
            <w:tcBorders>
              <w:top w:val="single" w:color="F79646" w:sz="8" w:space="0"/>
              <w:left w:val="dotted" w:color="auto" w:sz="18" w:space="0"/>
              <w:bottom w:val="single" w:color="F79646" w:sz="8" w:space="0"/>
              <w:right w:val="dotted" w:color="auto" w:sz="18" w:space="0"/>
            </w:tcBorders>
            <w:shd w:val="pct20" w:color="000000" w:fill="FFFFFF"/>
            <w:vAlign w:val="center"/>
          </w:tcPr>
          <w:p>
            <w:pPr>
              <w:jc w:val="center"/>
              <w:rPr>
                <w:rFonts w:hint="default" w:ascii="仿宋_GB2312" w:hAnsi="仿宋_GB2312" w:eastAsia="仿宋_GB2312" w:cs="仿宋_GB2312"/>
                <w:color w:val="000000"/>
                <w:lang w:val="en-US" w:eastAsia="zh-CN"/>
              </w:rPr>
            </w:pPr>
            <w:r>
              <w:rPr>
                <w:rFonts w:hint="eastAsia" w:ascii="仿宋_GB2312" w:hAnsi="仿宋_GB2312" w:eastAsia="仿宋_GB2312" w:cs="仿宋_GB2312"/>
                <w:color w:val="000000"/>
                <w:lang w:val="en-US" w:eastAsia="zh-CN"/>
              </w:rPr>
              <w:t>1332</w:t>
            </w:r>
          </w:p>
        </w:tc>
        <w:tc>
          <w:tcPr>
            <w:tcW w:w="1779" w:type="dxa"/>
            <w:tcBorders>
              <w:top w:val="single" w:color="F79646" w:sz="8" w:space="0"/>
              <w:left w:val="dotted" w:color="auto" w:sz="18" w:space="0"/>
              <w:bottom w:val="single" w:color="F79646" w:sz="8" w:space="0"/>
              <w:right w:val="dotted" w:color="auto" w:sz="18" w:space="0"/>
            </w:tcBorders>
            <w:shd w:val="pct20" w:color="000000" w:fill="FFFFFF"/>
            <w:vAlign w:val="center"/>
          </w:tcPr>
          <w:p>
            <w:pPr>
              <w:jc w:val="center"/>
              <w:rPr>
                <w:rFonts w:hint="eastAsia" w:ascii="仿宋_GB2312" w:hAnsi="仿宋_GB2312" w:eastAsia="仿宋_GB2312" w:cs="仿宋_GB2312"/>
                <w:color w:val="000000"/>
                <w:lang w:val="en-US" w:eastAsia="zh-CN"/>
              </w:rPr>
            </w:pPr>
            <w:r>
              <w:rPr>
                <w:rFonts w:hint="eastAsia" w:ascii="仿宋_GB2312" w:hAnsi="仿宋_GB2312" w:eastAsia="仿宋_GB2312" w:cs="仿宋_GB2312"/>
                <w:color w:val="000000"/>
              </w:rPr>
              <w:t>1.8</w:t>
            </w:r>
            <w:r>
              <w:rPr>
                <w:rFonts w:hint="eastAsia" w:ascii="仿宋_GB2312" w:hAnsi="仿宋_GB2312" w:eastAsia="仿宋_GB2312" w:cs="仿宋_GB2312"/>
                <w:color w:val="000000"/>
                <w:lang w:val="en-US" w:eastAsia="zh-CN"/>
              </w:rPr>
              <w:t>4</w:t>
            </w:r>
          </w:p>
        </w:tc>
        <w:tc>
          <w:tcPr>
            <w:tcW w:w="1584" w:type="dxa"/>
            <w:tcBorders>
              <w:top w:val="single" w:color="F79646" w:sz="8" w:space="0"/>
              <w:left w:val="dotted" w:color="auto" w:sz="18" w:space="0"/>
              <w:bottom w:val="single" w:color="F79646" w:sz="8" w:space="0"/>
              <w:right w:val="dotted" w:color="auto" w:sz="18" w:space="0"/>
            </w:tcBorders>
            <w:shd w:val="pct20" w:color="000000" w:fill="FFFFFF"/>
            <w:vAlign w:val="center"/>
          </w:tcPr>
          <w:p>
            <w:pPr>
              <w:jc w:val="center"/>
              <w:rPr>
                <w:rFonts w:hint="default" w:ascii="仿宋_GB2312" w:hAnsi="仿宋_GB2312" w:eastAsia="仿宋_GB2312" w:cs="仿宋_GB2312"/>
                <w:color w:val="000000"/>
                <w:lang w:val="en-US" w:eastAsia="zh-CN"/>
              </w:rPr>
            </w:pPr>
            <w:r>
              <w:rPr>
                <w:rFonts w:hint="eastAsia" w:ascii="仿宋_GB2312" w:hAnsi="仿宋_GB2312" w:eastAsia="仿宋_GB2312" w:cs="仿宋_GB2312"/>
                <w:color w:val="000000"/>
                <w:lang w:val="en-US" w:eastAsia="zh-CN"/>
              </w:rPr>
              <w:t>24280</w:t>
            </w:r>
          </w:p>
        </w:tc>
        <w:tc>
          <w:tcPr>
            <w:tcW w:w="1682" w:type="dxa"/>
            <w:tcBorders>
              <w:top w:val="single" w:color="F79646" w:sz="8" w:space="0"/>
              <w:left w:val="dotted" w:color="auto" w:sz="18" w:space="0"/>
              <w:bottom w:val="single" w:color="F79646" w:sz="8" w:space="0"/>
              <w:right w:val="single" w:color="F79646" w:sz="8" w:space="0"/>
            </w:tcBorders>
            <w:shd w:val="pct20" w:color="000000" w:fill="FFFFFF"/>
            <w:vAlign w:val="center"/>
          </w:tcPr>
          <w:p>
            <w:pPr>
              <w:jc w:val="center"/>
              <w:rPr>
                <w:rFonts w:hint="default" w:ascii="仿宋_GB2312" w:hAnsi="仿宋_GB2312" w:eastAsia="仿宋_GB2312" w:cs="仿宋_GB2312"/>
                <w:color w:val="000000"/>
                <w:lang w:val="en-US" w:eastAsia="zh-CN"/>
              </w:rPr>
            </w:pPr>
            <w:r>
              <w:rPr>
                <w:rFonts w:hint="eastAsia" w:ascii="仿宋_GB2312" w:hAnsi="仿宋_GB2312" w:eastAsia="仿宋_GB2312" w:cs="仿宋_GB2312"/>
                <w:color w:val="000000"/>
                <w:lang w:val="en-US" w:eastAsia="zh-CN"/>
              </w:rPr>
              <w:t>33</w:t>
            </w:r>
          </w:p>
        </w:tc>
      </w:tr>
    </w:tbl>
    <w:p>
      <w:pPr>
        <w:widowControl/>
        <w:spacing w:line="360" w:lineRule="auto"/>
        <w:jc w:val="left"/>
        <w:rPr>
          <w:rFonts w:hint="eastAsia"/>
          <w:lang w:eastAsia="zh-CN"/>
        </w:rPr>
      </w:pPr>
      <w:r>
        <w:rPr>
          <w:rFonts w:hint="eastAsia" w:ascii="仿宋" w:hAnsi="仿宋" w:eastAsia="仿宋" w:cs="Times New Roman"/>
          <w:sz w:val="32"/>
          <w:szCs w:val="32"/>
          <w:lang w:eastAsia="zh-CN"/>
        </w:rPr>
        <w:drawing>
          <wp:inline distT="0" distB="0" distL="114300" distR="114300">
            <wp:extent cx="2602230" cy="2450465"/>
            <wp:effectExtent l="0" t="0" r="7620" b="6985"/>
            <wp:docPr id="181" name="图片 17" descr="35890652eed7cd6b0dd5ad98fabc9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7" descr="35890652eed7cd6b0dd5ad98fabc99a"/>
                    <pic:cNvPicPr>
                      <a:picLocks noChangeAspect="1"/>
                    </pic:cNvPicPr>
                  </pic:nvPicPr>
                  <pic:blipFill>
                    <a:blip r:embed="rId13"/>
                    <a:stretch>
                      <a:fillRect/>
                    </a:stretch>
                  </pic:blipFill>
                  <pic:spPr>
                    <a:xfrm>
                      <a:off x="0" y="0"/>
                      <a:ext cx="2602230" cy="2450465"/>
                    </a:xfrm>
                    <a:prstGeom prst="rect">
                      <a:avLst/>
                    </a:prstGeom>
                    <a:noFill/>
                    <a:ln>
                      <a:noFill/>
                    </a:ln>
                  </pic:spPr>
                </pic:pic>
              </a:graphicData>
            </a:graphic>
          </wp:inline>
        </w:drawing>
      </w:r>
      <w:r>
        <w:rPr>
          <w:rFonts w:hint="eastAsia" w:ascii="仿宋" w:hAnsi="仿宋" w:eastAsia="仿宋" w:cs="Times New Roman"/>
          <w:sz w:val="32"/>
          <w:szCs w:val="32"/>
          <w:lang w:val="en-US" w:eastAsia="zh-CN"/>
        </w:rPr>
        <w:t xml:space="preserve"> </w:t>
      </w:r>
      <w:r>
        <w:rPr>
          <w:sz w:val="32"/>
          <w:szCs w:val="32"/>
        </w:rPr>
        <w:drawing>
          <wp:inline distT="0" distB="0" distL="114300" distR="114300">
            <wp:extent cx="2549525" cy="2444115"/>
            <wp:effectExtent l="0" t="0" r="3175" b="13335"/>
            <wp:docPr id="182" name="图片 18" descr="微信图片_2019031108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 descr="微信图片_20190311081527"/>
                    <pic:cNvPicPr>
                      <a:picLocks noChangeAspect="1"/>
                    </pic:cNvPicPr>
                  </pic:nvPicPr>
                  <pic:blipFill>
                    <a:blip r:embed="rId14"/>
                    <a:stretch>
                      <a:fillRect/>
                    </a:stretch>
                  </pic:blipFill>
                  <pic:spPr>
                    <a:xfrm>
                      <a:off x="0" y="0"/>
                      <a:ext cx="2549525" cy="2444115"/>
                    </a:xfrm>
                    <a:prstGeom prst="rect">
                      <a:avLst/>
                    </a:prstGeom>
                    <a:noFill/>
                    <a:ln>
                      <a:noFill/>
                    </a:ln>
                  </pic:spPr>
                </pic:pic>
              </a:graphicData>
            </a:graphic>
          </wp:inline>
        </w:drawing>
      </w:r>
    </w:p>
    <w:p>
      <w:pPr>
        <w:widowControl/>
        <w:spacing w:line="360" w:lineRule="auto"/>
        <w:ind w:firstLine="560"/>
        <w:jc w:val="left"/>
        <w:rPr>
          <w:rFonts w:hint="default" w:ascii="仿宋_GB2312" w:hAnsi="Times New Roman" w:eastAsia="仿宋_GB2312"/>
          <w:sz w:val="28"/>
          <w:szCs w:val="28"/>
          <w:lang w:val="en-US" w:eastAsia="zh-CN"/>
        </w:rPr>
      </w:pPr>
      <w:r>
        <w:rPr>
          <w:rFonts w:hint="eastAsia" w:ascii="仿宋" w:hAnsi="仿宋" w:eastAsia="仿宋" w:cs="Times New Roman"/>
          <w:sz w:val="32"/>
          <w:szCs w:val="32"/>
          <w:lang w:val="en-US" w:eastAsia="zh-CN"/>
        </w:rPr>
        <w:t xml:space="preserve">   </w:t>
      </w:r>
      <w:r>
        <w:rPr>
          <w:rFonts w:hint="eastAsia" w:ascii="仿宋_GB2312" w:hAnsi="Times New Roman" w:eastAsia="仿宋_GB2312"/>
          <w:sz w:val="28"/>
          <w:szCs w:val="28"/>
          <w:lang w:val="en-US" w:eastAsia="zh-CN"/>
        </w:rPr>
        <w:t>体能恢复器材                   化学实验室</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1"/>
        <w:rPr>
          <w:rFonts w:hint="eastAsia" w:ascii="仿宋_GB2312" w:hAnsi="Times New Roman" w:eastAsia="仿宋_GB2312" w:cs="Times New Roman"/>
          <w:b/>
          <w:bCs/>
          <w:kern w:val="2"/>
          <w:sz w:val="28"/>
          <w:szCs w:val="28"/>
          <w:lang w:val="en-US" w:eastAsia="zh-CN" w:bidi="ar-SA"/>
        </w:rPr>
      </w:pPr>
      <w:bookmarkStart w:id="24" w:name="_Toc13521"/>
      <w:bookmarkStart w:id="25" w:name="_Toc17648"/>
      <w:r>
        <w:rPr>
          <w:rFonts w:hint="eastAsia" w:ascii="仿宋_GB2312" w:hAnsi="Times New Roman" w:eastAsia="仿宋_GB2312" w:cs="Times New Roman"/>
          <w:b/>
          <w:bCs/>
          <w:kern w:val="2"/>
          <w:sz w:val="28"/>
          <w:szCs w:val="28"/>
          <w:lang w:val="en-US" w:eastAsia="zh-CN" w:bidi="ar-SA"/>
        </w:rPr>
        <w:t>1.6社会贡献</w:t>
      </w:r>
      <w:bookmarkEnd w:id="24"/>
      <w:bookmarkEnd w:id="25"/>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sz w:val="28"/>
          <w:szCs w:val="28"/>
          <w:lang w:val="en-US" w:eastAsia="zh-CN"/>
        </w:rPr>
      </w:pPr>
      <w:r>
        <w:rPr>
          <w:rFonts w:hint="eastAsia" w:ascii="仿宋_GB2312" w:hAnsi="Times New Roman" w:eastAsia="仿宋_GB2312"/>
          <w:sz w:val="28"/>
          <w:szCs w:val="28"/>
          <w:lang w:val="en-US" w:eastAsia="zh-CN"/>
        </w:rPr>
        <w:t>2021年</w:t>
      </w:r>
      <w:r>
        <w:rPr>
          <w:rFonts w:hint="eastAsia" w:ascii="仿宋_GB2312" w:hAnsi="Times New Roman" w:eastAsia="仿宋_GB2312"/>
          <w:sz w:val="28"/>
          <w:szCs w:val="28"/>
          <w:lang w:eastAsia="zh-CN"/>
        </w:rPr>
        <w:t>山西省第十六届省运会资格赛从七月中旬到八月初进行了</w:t>
      </w:r>
      <w:r>
        <w:rPr>
          <w:rFonts w:hint="eastAsia" w:ascii="仿宋_GB2312" w:hAnsi="Times New Roman" w:eastAsia="仿宋_GB2312"/>
          <w:sz w:val="28"/>
          <w:szCs w:val="28"/>
          <w:lang w:val="en-US" w:eastAsia="zh-CN"/>
        </w:rPr>
        <w:t>射击、乒乓球、摔跤、蹦床、足球、体操等7个项目的比赛。在</w:t>
      </w:r>
      <w:r>
        <w:rPr>
          <w:rFonts w:hint="eastAsia" w:ascii="仿宋_GB2312" w:hAnsi="Times New Roman" w:eastAsia="仿宋_GB2312"/>
          <w:sz w:val="28"/>
          <w:szCs w:val="28"/>
          <w:lang w:eastAsia="zh-CN"/>
        </w:rPr>
        <w:t>射击项目的比赛共获得</w:t>
      </w:r>
      <w:r>
        <w:rPr>
          <w:rFonts w:hint="eastAsia" w:ascii="仿宋_GB2312" w:hAnsi="Times New Roman" w:eastAsia="仿宋_GB2312"/>
          <w:sz w:val="28"/>
          <w:szCs w:val="28"/>
          <w:lang w:val="en-US" w:eastAsia="zh-CN"/>
        </w:rPr>
        <w:t>9金12银10铜，总分306分的历史最好成绩，同时，运动员王焕一人获得4枚金牌，并获得“奥运之星”称号</w:t>
      </w:r>
      <w:r>
        <w:rPr>
          <w:rFonts w:hint="eastAsia" w:ascii="仿宋_GB2312" w:hAnsi="Times New Roman" w:eastAsia="仿宋_GB2312"/>
          <w:sz w:val="28"/>
          <w:szCs w:val="28"/>
          <w:lang w:eastAsia="uk-UA"/>
        </w:rPr>
        <w:t>。</w:t>
      </w:r>
      <w:r>
        <w:rPr>
          <w:rFonts w:hint="eastAsia" w:ascii="仿宋_GB2312" w:hAnsi="Times New Roman" w:eastAsia="仿宋_GB2312"/>
          <w:sz w:val="28"/>
          <w:szCs w:val="28"/>
          <w:lang w:eastAsia="zh-CN"/>
        </w:rPr>
        <w:t>摔跤队获得</w:t>
      </w:r>
      <w:r>
        <w:rPr>
          <w:rFonts w:hint="eastAsia" w:ascii="仿宋_GB2312" w:hAnsi="Times New Roman" w:eastAsia="仿宋_GB2312"/>
          <w:sz w:val="28"/>
          <w:szCs w:val="28"/>
          <w:lang w:val="en-US" w:eastAsia="zh-CN"/>
        </w:rPr>
        <w:t>15金17银17铜，总分441分，摔跤项目总分全省第一的好成绩。乒乓球队获得1金9银7铜，总分170分，排名第一。蹦床项目获得1金3银6铜，团体总分117分。男子足球获得甲乙组双冠</w:t>
      </w:r>
      <w:r>
        <w:rPr>
          <w:rFonts w:hint="default" w:ascii="仿宋_GB2312" w:hAnsi="Times New Roman" w:eastAsia="仿宋_GB2312"/>
          <w:sz w:val="28"/>
          <w:szCs w:val="28"/>
          <w:lang w:eastAsia="zh-CN"/>
        </w:rPr>
        <w:t>（共10枚金牌）</w:t>
      </w:r>
      <w:r>
        <w:rPr>
          <w:rFonts w:hint="eastAsia" w:ascii="仿宋_GB2312" w:hAnsi="Times New Roman" w:eastAsia="仿宋_GB2312"/>
          <w:sz w:val="28"/>
          <w:szCs w:val="28"/>
          <w:lang w:val="en-US" w:eastAsia="zh-CN"/>
        </w:rPr>
        <w:t>。在体操项目的</w:t>
      </w:r>
      <w:r>
        <w:rPr>
          <w:rFonts w:hint="default" w:ascii="仿宋_GB2312" w:hAnsi="Times New Roman" w:eastAsia="仿宋_GB2312"/>
          <w:sz w:val="28"/>
          <w:szCs w:val="28"/>
          <w:lang w:eastAsia="zh-CN"/>
        </w:rPr>
        <w:t>比赛</w:t>
      </w:r>
      <w:r>
        <w:rPr>
          <w:rFonts w:hint="eastAsia" w:ascii="仿宋_GB2312" w:hAnsi="Times New Roman" w:eastAsia="仿宋_GB2312"/>
          <w:sz w:val="28"/>
          <w:szCs w:val="28"/>
          <w:lang w:val="en-US" w:eastAsia="zh-CN"/>
        </w:rPr>
        <w:t>中，</w:t>
      </w:r>
      <w:r>
        <w:rPr>
          <w:rFonts w:hint="default" w:ascii="仿宋_GB2312" w:hAnsi="Times New Roman" w:eastAsia="仿宋_GB2312"/>
          <w:sz w:val="28"/>
          <w:szCs w:val="28"/>
          <w:lang w:eastAsia="zh-CN"/>
        </w:rPr>
        <w:t>我校健儿勇夺8金4银10铜，</w:t>
      </w:r>
      <w:r>
        <w:rPr>
          <w:rFonts w:hint="eastAsia" w:ascii="仿宋_GB2312" w:hAnsi="Times New Roman" w:eastAsia="仿宋_GB2312"/>
          <w:sz w:val="28"/>
          <w:szCs w:val="28"/>
          <w:lang w:val="en-US" w:eastAsia="zh-CN"/>
        </w:rPr>
        <w:t>取得</w:t>
      </w:r>
      <w:r>
        <w:rPr>
          <w:rFonts w:hint="default" w:ascii="仿宋_GB2312" w:hAnsi="Times New Roman" w:eastAsia="仿宋_GB2312"/>
          <w:sz w:val="28"/>
          <w:szCs w:val="28"/>
          <w:lang w:eastAsia="zh-CN"/>
        </w:rPr>
        <w:t>团体总分181分的好成绩。</w:t>
      </w:r>
      <w:r>
        <w:rPr>
          <w:rFonts w:hint="eastAsia" w:ascii="仿宋_GB2312" w:hAnsi="Times New Roman" w:eastAsia="仿宋_GB2312"/>
          <w:sz w:val="28"/>
          <w:szCs w:val="28"/>
          <w:lang w:val="en-US" w:eastAsia="zh-CN"/>
        </w:rPr>
        <w:t>因疫情原因其他项目暂停比赛。</w:t>
      </w:r>
    </w:p>
    <w:p>
      <w:pPr>
        <w:pStyle w:val="2"/>
        <w:ind w:left="0" w:leftChars="0" w:firstLine="0" w:firstLineChars="0"/>
        <w:rPr>
          <w:rFonts w:hint="eastAsia"/>
          <w:lang w:val="en-US" w:eastAsia="zh-CN"/>
        </w:rPr>
      </w:pPr>
      <w:r>
        <w:rPr>
          <w:rFonts w:hint="eastAsia"/>
          <w:lang w:val="en-US" w:eastAsia="zh-CN"/>
        </w:rPr>
        <w:drawing>
          <wp:inline distT="0" distB="0" distL="114300" distR="114300">
            <wp:extent cx="2595245" cy="1887220"/>
            <wp:effectExtent l="0" t="0" r="14605" b="17780"/>
            <wp:docPr id="22" name="图片 22" descr="足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足球"/>
                    <pic:cNvPicPr>
                      <a:picLocks noChangeAspect="1"/>
                    </pic:cNvPicPr>
                  </pic:nvPicPr>
                  <pic:blipFill>
                    <a:blip r:embed="rId15"/>
                    <a:stretch>
                      <a:fillRect/>
                    </a:stretch>
                  </pic:blipFill>
                  <pic:spPr>
                    <a:xfrm>
                      <a:off x="0" y="0"/>
                      <a:ext cx="2595245" cy="188722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576195" cy="1898650"/>
            <wp:effectExtent l="0" t="0" r="14605" b="6350"/>
            <wp:docPr id="26" name="图片 26" descr="足球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足球2"/>
                    <pic:cNvPicPr>
                      <a:picLocks noChangeAspect="1"/>
                    </pic:cNvPicPr>
                  </pic:nvPicPr>
                  <pic:blipFill>
                    <a:blip r:embed="rId16"/>
                    <a:stretch>
                      <a:fillRect/>
                    </a:stretch>
                  </pic:blipFill>
                  <pic:spPr>
                    <a:xfrm>
                      <a:off x="0" y="0"/>
                      <a:ext cx="2576195" cy="1898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仿宋_GB2312" w:hAnsi="Times New Roman" w:eastAsia="仿宋_GB2312"/>
          <w:sz w:val="28"/>
          <w:szCs w:val="28"/>
          <w:lang w:val="en-US" w:eastAsia="zh-CN"/>
        </w:rPr>
      </w:pPr>
      <w:r>
        <w:rPr>
          <w:rFonts w:hint="eastAsia" w:ascii="仿宋_GB2312" w:hAnsi="Times New Roman" w:eastAsia="仿宋_GB2312"/>
          <w:sz w:val="28"/>
          <w:szCs w:val="28"/>
          <w:lang w:val="en-US" w:eastAsia="zh-CN"/>
        </w:rPr>
        <w:t>2021年山西省足球锦标赛暨山西省第十六届运动会足球资格赛</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sz w:val="28"/>
          <w:szCs w:val="28"/>
          <w:lang w:eastAsia="uk-UA"/>
        </w:rPr>
      </w:pPr>
      <w:r>
        <w:rPr>
          <w:rFonts w:hint="eastAsia" w:ascii="仿宋_GB2312" w:hAnsi="Times New Roman" w:eastAsia="仿宋_GB2312"/>
          <w:sz w:val="28"/>
          <w:szCs w:val="28"/>
          <w:lang w:val="en-US" w:eastAsia="zh-CN"/>
        </w:rPr>
        <w:t>我校运动员在2021年获得大赛成绩：我校输送运动员在东京奥运会比赛中，唐皓获得跆拳道团体赛金牌，董栋获得蹦床银牌，为国家、为山西做出重大贡献。在陕西举行的中华人民共和国第十四届全运会比赛中，我校运动员王迪获得中国式摔跤比赛金牌，董栋、唐皓分别获得蹦床、跆拳道银牌，男子柔道孟根仓、空手道张晓玲分别获得铜牌。女子柔道刘犇获得第五名、梁翻翻获得第七名。跆拳道赵鑫波、女子摔跤裴星茹分别获得第七名。</w:t>
      </w:r>
    </w:p>
    <w:p>
      <w:pPr>
        <w:rPr>
          <w:b/>
        </w:rPr>
      </w:pPr>
      <w:r>
        <w:rPr>
          <w:rFonts w:hint="eastAsia" w:ascii="仿宋_GB2312" w:hAnsi="仿宋_GB2312"/>
          <w:sz w:val="32"/>
          <w:szCs w:val="32"/>
        </w:rPr>
        <w:drawing>
          <wp:inline distT="0" distB="0" distL="114300" distR="114300">
            <wp:extent cx="2580005" cy="2051050"/>
            <wp:effectExtent l="0" t="0" r="10795" b="6350"/>
            <wp:docPr id="4" name="图片 24" descr="（1）习主席接见我校女子自由跤运动员-裴星茹t01d23713ca7c84a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 descr="（1）习主席接见我校女子自由跤运动员-裴星茹t01d23713ca7c84a844"/>
                    <pic:cNvPicPr>
                      <a:picLocks noChangeAspect="1"/>
                    </pic:cNvPicPr>
                  </pic:nvPicPr>
                  <pic:blipFill>
                    <a:blip r:embed="rId17" cstate="print"/>
                    <a:stretch>
                      <a:fillRect/>
                    </a:stretch>
                  </pic:blipFill>
                  <pic:spPr>
                    <a:xfrm>
                      <a:off x="0" y="0"/>
                      <a:ext cx="2580005" cy="2051050"/>
                    </a:xfrm>
                    <a:prstGeom prst="rect">
                      <a:avLst/>
                    </a:prstGeom>
                  </pic:spPr>
                </pic:pic>
              </a:graphicData>
            </a:graphic>
          </wp:inline>
        </w:drawing>
      </w:r>
      <w:r>
        <w:rPr>
          <w:rFonts w:hint="eastAsia" w:ascii="Times New Roman" w:hAnsi="Times New Roman"/>
          <w:sz w:val="28"/>
          <w:szCs w:val="28"/>
        </w:rPr>
        <w:t xml:space="preserve"> </w:t>
      </w:r>
      <w:r>
        <w:rPr>
          <w:sz w:val="28"/>
          <w:szCs w:val="28"/>
        </w:rPr>
        <w:drawing>
          <wp:inline distT="0" distB="0" distL="0" distR="0">
            <wp:extent cx="2487295" cy="2056130"/>
            <wp:effectExtent l="0" t="0" r="8255" b="1270"/>
            <wp:docPr id="5" name="图片 1" descr="C:\Users\ADMINI~1\AppData\Local\Temp\ksohtml507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DMINI~1\AppData\Local\Temp\ksohtml5072\wps2.png"/>
                    <pic:cNvPicPr>
                      <a:picLocks noChangeAspect="1" noChangeArrowheads="1"/>
                    </pic:cNvPicPr>
                  </pic:nvPicPr>
                  <pic:blipFill>
                    <a:blip r:embed="rId18" cstate="print"/>
                    <a:srcRect/>
                    <a:stretch>
                      <a:fillRect/>
                    </a:stretch>
                  </pic:blipFill>
                  <pic:spPr>
                    <a:xfrm>
                      <a:off x="0" y="0"/>
                      <a:ext cx="2487295" cy="2056130"/>
                    </a:xfrm>
                    <a:prstGeom prst="rect">
                      <a:avLst/>
                    </a:prstGeom>
                    <a:noFill/>
                    <a:ln w="9525">
                      <a:noFill/>
                      <a:miter lim="800000"/>
                      <a:headEnd/>
                      <a:tailEnd/>
                    </a:ln>
                  </pic:spPr>
                </pic:pic>
              </a:graphicData>
            </a:graphic>
          </wp:inline>
        </w:drawing>
      </w:r>
      <w:r>
        <w:rPr>
          <w:rFonts w:hint="eastAsia" w:ascii="Times New Roman" w:hAnsi="Times New Roman"/>
          <w:sz w:val="28"/>
          <w:szCs w:val="28"/>
        </w:rPr>
        <w:t xml:space="preserve"> </w:t>
      </w:r>
      <w:r>
        <w:rPr>
          <w:rFonts w:hint="eastAsia"/>
          <w:b/>
        </w:rPr>
        <w:t xml:space="preserve">  </w:t>
      </w:r>
    </w:p>
    <w:p>
      <w:pPr>
        <w:rPr>
          <w:b/>
        </w:rPr>
      </w:pPr>
      <w:r>
        <w:rPr>
          <w:rFonts w:hint="eastAsia" w:ascii="仿宋_GB2312" w:hAnsi="Times New Roman" w:eastAsia="仿宋_GB2312"/>
          <w:sz w:val="21"/>
          <w:szCs w:val="21"/>
          <w:lang w:val="en-US" w:eastAsia="zh-CN"/>
        </w:rPr>
        <w:t>习主席接见我校世锦赛、全运会冠军：裴星茹        奥运会冠军：董栋</w:t>
      </w:r>
    </w:p>
    <w:p>
      <w:pPr>
        <w:rPr>
          <w:rFonts w:ascii="Times New Roman" w:hAnsi="Times New Roman"/>
          <w:sz w:val="28"/>
          <w:szCs w:val="28"/>
        </w:rPr>
      </w:pPr>
      <w:r>
        <w:rPr>
          <w:b/>
        </w:rPr>
        <w:drawing>
          <wp:inline distT="0" distB="0" distL="0" distR="0">
            <wp:extent cx="2564130" cy="2320290"/>
            <wp:effectExtent l="0" t="0" r="7620" b="3810"/>
            <wp:docPr id="14" name="图片 6" descr="C:\Users\ADMINI~1\AppData\Local\Temp\ksohtml5072\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C:\Users\ADMINI~1\AppData\Local\Temp\ksohtml5072\wps3.png"/>
                    <pic:cNvPicPr>
                      <a:picLocks noChangeAspect="1" noChangeArrowheads="1"/>
                    </pic:cNvPicPr>
                  </pic:nvPicPr>
                  <pic:blipFill>
                    <a:blip r:embed="rId19" cstate="print"/>
                    <a:srcRect/>
                    <a:stretch>
                      <a:fillRect/>
                    </a:stretch>
                  </pic:blipFill>
                  <pic:spPr>
                    <a:xfrm>
                      <a:off x="0" y="0"/>
                      <a:ext cx="2564130" cy="2320290"/>
                    </a:xfrm>
                    <a:prstGeom prst="rect">
                      <a:avLst/>
                    </a:prstGeom>
                    <a:noFill/>
                    <a:ln w="9525">
                      <a:noFill/>
                      <a:miter lim="800000"/>
                      <a:headEnd/>
                      <a:tailEnd/>
                    </a:ln>
                  </pic:spPr>
                </pic:pic>
              </a:graphicData>
            </a:graphic>
          </wp:inline>
        </w:drawing>
      </w:r>
      <w:r>
        <w:rPr>
          <w:rFonts w:hint="eastAsia"/>
          <w:b/>
        </w:rPr>
        <w:t xml:space="preserve"> </w:t>
      </w:r>
      <w:r>
        <w:rPr>
          <w:rFonts w:ascii="仿宋_GB2312" w:hAnsi="仿宋_GB2312"/>
          <w:sz w:val="32"/>
          <w:szCs w:val="32"/>
        </w:rPr>
        <w:drawing>
          <wp:inline distT="0" distB="0" distL="114300" distR="114300">
            <wp:extent cx="2503805" cy="2319020"/>
            <wp:effectExtent l="0" t="0" r="10795" b="5080"/>
            <wp:docPr id="16" name="图片 41" descr="（5）2012年第30届伦敦奥运会团体亚军方玉婷（射箭）u=4057174109,965391352&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1" descr="（5）2012年第30届伦敦奥运会团体亚军方玉婷（射箭）u=4057174109,965391352&amp;fm=23&amp;gp=0"/>
                    <pic:cNvPicPr>
                      <a:picLocks noChangeAspect="1"/>
                    </pic:cNvPicPr>
                  </pic:nvPicPr>
                  <pic:blipFill>
                    <a:blip r:embed="rId20" cstate="print"/>
                    <a:stretch>
                      <a:fillRect/>
                    </a:stretch>
                  </pic:blipFill>
                  <pic:spPr>
                    <a:xfrm>
                      <a:off x="0" y="0"/>
                      <a:ext cx="2503805" cy="2319020"/>
                    </a:xfrm>
                    <a:prstGeom prst="rect">
                      <a:avLst/>
                    </a:prstGeom>
                  </pic:spPr>
                </pic:pic>
              </a:graphicData>
            </a:graphic>
          </wp:inline>
        </w:drawing>
      </w:r>
    </w:p>
    <w:p>
      <w:pPr>
        <w:rPr>
          <w:rFonts w:ascii="宋体" w:hAnsi="宋体" w:cs="宋体"/>
          <w:b/>
          <w:color w:val="000000"/>
          <w:sz w:val="24"/>
          <w:szCs w:val="24"/>
        </w:rPr>
      </w:pPr>
      <w:r>
        <w:rPr>
          <w:rFonts w:hint="eastAsia" w:ascii="仿宋" w:hAnsi="仿宋" w:eastAsia="仿宋" w:cs="仿宋"/>
          <w:b/>
          <w:color w:val="000000" w:themeColor="text1"/>
        </w:rPr>
        <w:t xml:space="preserve"> </w:t>
      </w:r>
      <w:r>
        <w:rPr>
          <w:rFonts w:hint="eastAsia" w:ascii="仿宋" w:hAnsi="仿宋" w:eastAsia="仿宋" w:cs="仿宋"/>
          <w:b/>
          <w:color w:val="000000" w:themeColor="text1"/>
          <w:lang w:val="en-US" w:eastAsia="zh-CN"/>
        </w:rPr>
        <w:t xml:space="preserve">       </w:t>
      </w:r>
      <w:r>
        <w:rPr>
          <w:rFonts w:hint="eastAsia" w:ascii="仿宋_GB2312" w:hAnsi="Times New Roman" w:eastAsia="仿宋_GB2312"/>
          <w:sz w:val="24"/>
          <w:szCs w:val="24"/>
          <w:lang w:val="en-US" w:eastAsia="zh-CN"/>
        </w:rPr>
        <w:t>奥运会亚军：常永祥                 奥运会亚军：方玉婷</w:t>
      </w:r>
    </w:p>
    <w:p>
      <w:pPr>
        <w:jc w:val="both"/>
        <w:rPr>
          <w:rFonts w:hint="eastAsia" w:ascii="宋体" w:hAnsi="宋体" w:cs="宋体"/>
          <w:b/>
          <w:color w:val="000000"/>
          <w:sz w:val="32"/>
          <w:szCs w:val="32"/>
        </w:rPr>
      </w:pPr>
      <w:bookmarkStart w:id="26" w:name="_Toc12325"/>
      <w:r>
        <w:rPr>
          <w:rFonts w:hint="eastAsia" w:ascii="宋体" w:hAnsi="宋体" w:eastAsia="宋体" w:cs="宋体"/>
          <w:b/>
          <w:color w:val="000000"/>
          <w:sz w:val="32"/>
          <w:szCs w:val="32"/>
          <w:lang w:eastAsia="zh-CN"/>
        </w:rPr>
        <w:drawing>
          <wp:inline distT="0" distB="0" distL="114300" distR="114300">
            <wp:extent cx="5132070" cy="2547620"/>
            <wp:effectExtent l="0" t="0" r="11430" b="5080"/>
            <wp:docPr id="2" name="图片 2" descr="096dab23a7e302cb9d3d43cb8e6d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96dab23a7e302cb9d3d43cb8e6d491"/>
                    <pic:cNvPicPr>
                      <a:picLocks noChangeAspect="1"/>
                    </pic:cNvPicPr>
                  </pic:nvPicPr>
                  <pic:blipFill>
                    <a:blip r:embed="rId21"/>
                    <a:stretch>
                      <a:fillRect/>
                    </a:stretch>
                  </pic:blipFill>
                  <pic:spPr>
                    <a:xfrm>
                      <a:off x="0" y="0"/>
                      <a:ext cx="5132070" cy="2547620"/>
                    </a:xfrm>
                    <a:prstGeom prst="rect">
                      <a:avLst/>
                    </a:prstGeom>
                  </pic:spPr>
                </pic:pic>
              </a:graphicData>
            </a:graphic>
          </wp:inline>
        </w:drawing>
      </w:r>
    </w:p>
    <w:p>
      <w:pPr>
        <w:jc w:val="center"/>
        <w:rPr>
          <w:rFonts w:hint="eastAsia" w:ascii="仿宋_GB2312" w:hAnsi="Times New Roman" w:eastAsia="仿宋_GB2312"/>
          <w:sz w:val="24"/>
          <w:szCs w:val="24"/>
          <w:lang w:val="en-US" w:eastAsia="zh-CN"/>
        </w:rPr>
      </w:pPr>
      <w:r>
        <w:rPr>
          <w:rFonts w:hint="eastAsia" w:ascii="仿宋_GB2312" w:hAnsi="Times New Roman" w:eastAsia="仿宋_GB2312"/>
          <w:sz w:val="24"/>
          <w:szCs w:val="24"/>
          <w:lang w:val="en-US" w:eastAsia="zh-CN"/>
        </w:rPr>
        <w:t>东京奥运会跆拳道团体赛冠军唐皓</w:t>
      </w:r>
    </w:p>
    <w:p>
      <w:pPr>
        <w:jc w:val="both"/>
        <w:outlineLvl w:val="9"/>
        <w:rPr>
          <w:rFonts w:hint="eastAsia" w:ascii="仿宋_GB2312" w:hAnsi="仿宋_GB2312" w:eastAsia="仿宋_GB2312" w:cs="仿宋_GB2312"/>
          <w:b/>
          <w:bCs/>
          <w:color w:val="000000"/>
          <w:sz w:val="28"/>
          <w:szCs w:val="28"/>
        </w:rPr>
      </w:pPr>
    </w:p>
    <w:p>
      <w:pPr>
        <w:jc w:val="center"/>
        <w:outlineLvl w:val="9"/>
        <w:rPr>
          <w:rFonts w:hint="eastAsia" w:ascii="仿宋_GB2312" w:hAnsi="仿宋_GB2312" w:eastAsia="仿宋_GB2312" w:cs="仿宋_GB2312"/>
          <w:b/>
          <w:bCs/>
          <w:color w:val="000000"/>
          <w:sz w:val="28"/>
          <w:szCs w:val="28"/>
        </w:rPr>
      </w:pPr>
    </w:p>
    <w:p>
      <w:pPr>
        <w:jc w:val="center"/>
        <w:outlineLvl w:val="9"/>
        <w:rPr>
          <w:b/>
        </w:rPr>
      </w:pPr>
      <w:r>
        <w:rPr>
          <w:rFonts w:hint="eastAsia" w:ascii="仿宋_GB2312" w:hAnsi="仿宋_GB2312" w:eastAsia="仿宋_GB2312" w:cs="仿宋_GB2312"/>
          <w:b/>
          <w:bCs/>
          <w:color w:val="000000"/>
          <w:sz w:val="28"/>
          <w:szCs w:val="28"/>
        </w:rPr>
        <w:t>大同市体育运动学校运动员参加国际大赛获奖统计表</w:t>
      </w:r>
      <w:bookmarkEnd w:id="26"/>
    </w:p>
    <w:tbl>
      <w:tblPr>
        <w:tblStyle w:val="1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49"/>
        <w:gridCol w:w="1091"/>
        <w:gridCol w:w="1663"/>
        <w:gridCol w:w="1417"/>
        <w:gridCol w:w="992"/>
        <w:gridCol w:w="16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tcBorders>
              <w:top w:val="single" w:color="000000" w:sz="4" w:space="0"/>
              <w:left w:val="single" w:color="000000" w:sz="4" w:space="0"/>
              <w:bottom w:val="single" w:color="000000" w:sz="4" w:space="0"/>
              <w:right w:val="single" w:color="000000" w:sz="4" w:space="0"/>
            </w:tcBorders>
            <w:shd w:val="clear" w:color="auto" w:fill="FABF8F"/>
            <w:vAlign w:val="center"/>
          </w:tcPr>
          <w:p>
            <w:pPr>
              <w:widowControl/>
              <w:jc w:val="center"/>
              <w:textAlignment w:val="center"/>
              <w:rPr>
                <w:rFonts w:ascii="仿宋" w:hAnsi="仿宋" w:eastAsia="仿宋" w:cs="仿宋"/>
                <w:b/>
                <w:color w:val="000000"/>
                <w:sz w:val="28"/>
                <w:szCs w:val="28"/>
              </w:rPr>
            </w:pPr>
            <w:r>
              <w:rPr>
                <w:rFonts w:hint="eastAsia" w:ascii="仿宋" w:hAnsi="仿宋" w:eastAsia="仿宋" w:cs="仿宋"/>
                <w:b/>
                <w:color w:val="000000"/>
                <w:sz w:val="28"/>
                <w:szCs w:val="28"/>
              </w:rPr>
              <w:t>赛事</w:t>
            </w:r>
          </w:p>
        </w:tc>
        <w:tc>
          <w:tcPr>
            <w:tcW w:w="1091" w:type="dxa"/>
            <w:tcBorders>
              <w:top w:val="single" w:color="000000" w:sz="4" w:space="0"/>
              <w:left w:val="nil"/>
              <w:bottom w:val="single" w:color="000000" w:sz="4" w:space="0"/>
              <w:right w:val="single" w:color="000000" w:sz="4" w:space="0"/>
            </w:tcBorders>
            <w:shd w:val="clear" w:color="auto" w:fill="FABF8F"/>
            <w:vAlign w:val="center"/>
          </w:tcPr>
          <w:p>
            <w:pPr>
              <w:widowControl/>
              <w:jc w:val="center"/>
              <w:textAlignment w:val="center"/>
              <w:rPr>
                <w:rFonts w:ascii="仿宋" w:hAnsi="仿宋" w:eastAsia="仿宋" w:cs="仿宋"/>
                <w:b/>
                <w:color w:val="000000"/>
                <w:kern w:val="0"/>
                <w:sz w:val="28"/>
                <w:szCs w:val="28"/>
              </w:rPr>
            </w:pPr>
            <w:r>
              <w:rPr>
                <w:rFonts w:hint="eastAsia" w:ascii="仿宋" w:hAnsi="仿宋" w:eastAsia="仿宋" w:cs="仿宋"/>
                <w:b/>
                <w:color w:val="000000"/>
                <w:kern w:val="0"/>
                <w:sz w:val="28"/>
                <w:szCs w:val="28"/>
              </w:rPr>
              <w:t>姓名</w:t>
            </w:r>
          </w:p>
        </w:tc>
        <w:tc>
          <w:tcPr>
            <w:tcW w:w="1663" w:type="dxa"/>
            <w:tcBorders>
              <w:top w:val="single" w:color="000000" w:sz="4" w:space="0"/>
              <w:left w:val="nil"/>
              <w:bottom w:val="single" w:color="000000" w:sz="4" w:space="0"/>
              <w:right w:val="single" w:color="000000" w:sz="4" w:space="0"/>
            </w:tcBorders>
            <w:shd w:val="clear" w:color="auto" w:fill="FABF8F"/>
            <w:vAlign w:val="center"/>
          </w:tcPr>
          <w:p>
            <w:pPr>
              <w:widowControl/>
              <w:jc w:val="center"/>
              <w:textAlignment w:val="center"/>
              <w:rPr>
                <w:rFonts w:ascii="仿宋" w:hAnsi="仿宋" w:eastAsia="仿宋" w:cs="仿宋"/>
                <w:b/>
                <w:color w:val="000000"/>
                <w:kern w:val="0"/>
                <w:sz w:val="28"/>
                <w:szCs w:val="28"/>
              </w:rPr>
            </w:pPr>
            <w:r>
              <w:rPr>
                <w:rFonts w:hint="eastAsia" w:ascii="仿宋" w:hAnsi="仿宋" w:eastAsia="仿宋" w:cs="仿宋"/>
                <w:b/>
                <w:color w:val="000000"/>
                <w:kern w:val="0"/>
                <w:sz w:val="28"/>
                <w:szCs w:val="28"/>
              </w:rPr>
              <w:t>项目</w:t>
            </w:r>
          </w:p>
        </w:tc>
        <w:tc>
          <w:tcPr>
            <w:tcW w:w="1417" w:type="dxa"/>
            <w:tcBorders>
              <w:top w:val="single" w:color="000000" w:sz="4" w:space="0"/>
              <w:left w:val="nil"/>
              <w:bottom w:val="single" w:color="000000" w:sz="4" w:space="0"/>
              <w:right w:val="single" w:color="000000" w:sz="4" w:space="0"/>
            </w:tcBorders>
            <w:shd w:val="clear" w:color="auto" w:fill="FABF8F"/>
            <w:vAlign w:val="center"/>
          </w:tcPr>
          <w:p>
            <w:pPr>
              <w:widowControl/>
              <w:jc w:val="center"/>
              <w:textAlignment w:val="center"/>
              <w:rPr>
                <w:rFonts w:ascii="仿宋" w:hAnsi="仿宋" w:eastAsia="仿宋" w:cs="仿宋"/>
                <w:b/>
                <w:color w:val="000000"/>
                <w:kern w:val="0"/>
                <w:sz w:val="28"/>
                <w:szCs w:val="28"/>
              </w:rPr>
            </w:pPr>
            <w:r>
              <w:rPr>
                <w:rFonts w:hint="eastAsia" w:ascii="仿宋" w:hAnsi="仿宋" w:eastAsia="仿宋" w:cs="仿宋"/>
                <w:b/>
                <w:color w:val="000000"/>
                <w:kern w:val="0"/>
                <w:sz w:val="28"/>
                <w:szCs w:val="28"/>
              </w:rPr>
              <w:t>奖牌</w:t>
            </w:r>
          </w:p>
        </w:tc>
        <w:tc>
          <w:tcPr>
            <w:tcW w:w="992" w:type="dxa"/>
            <w:tcBorders>
              <w:top w:val="single" w:color="000000" w:sz="4" w:space="0"/>
              <w:left w:val="nil"/>
              <w:bottom w:val="single" w:color="000000" w:sz="4" w:space="0"/>
              <w:right w:val="single" w:color="000000" w:sz="4" w:space="0"/>
            </w:tcBorders>
            <w:shd w:val="clear" w:color="auto" w:fill="FABF8F"/>
            <w:vAlign w:val="center"/>
          </w:tcPr>
          <w:p>
            <w:pPr>
              <w:widowControl/>
              <w:jc w:val="center"/>
              <w:textAlignment w:val="center"/>
              <w:rPr>
                <w:rFonts w:ascii="仿宋" w:hAnsi="仿宋" w:eastAsia="仿宋" w:cs="仿宋"/>
                <w:b/>
                <w:color w:val="000000"/>
                <w:sz w:val="28"/>
                <w:szCs w:val="28"/>
              </w:rPr>
            </w:pPr>
            <w:r>
              <w:rPr>
                <w:rFonts w:hint="eastAsia" w:ascii="仿宋" w:hAnsi="仿宋" w:eastAsia="仿宋" w:cs="仿宋"/>
                <w:b/>
                <w:color w:val="000000"/>
                <w:sz w:val="28"/>
                <w:szCs w:val="28"/>
              </w:rPr>
              <w:t>年份</w:t>
            </w:r>
          </w:p>
        </w:tc>
        <w:tc>
          <w:tcPr>
            <w:tcW w:w="1610" w:type="dxa"/>
            <w:tcBorders>
              <w:top w:val="single" w:color="000000" w:sz="4" w:space="0"/>
              <w:left w:val="nil"/>
              <w:bottom w:val="single" w:color="000000" w:sz="4" w:space="0"/>
              <w:right w:val="single" w:color="000000" w:sz="4" w:space="0"/>
            </w:tcBorders>
            <w:shd w:val="clear" w:color="auto" w:fill="FABF8F"/>
            <w:vAlign w:val="center"/>
          </w:tcPr>
          <w:p>
            <w:pPr>
              <w:jc w:val="center"/>
              <w:rPr>
                <w:rFonts w:ascii="仿宋" w:hAnsi="仿宋" w:eastAsia="仿宋" w:cs="仿宋"/>
                <w:b/>
                <w:sz w:val="28"/>
                <w:szCs w:val="28"/>
              </w:rPr>
            </w:pPr>
            <w:r>
              <w:rPr>
                <w:rFonts w:hint="eastAsia" w:ascii="仿宋" w:hAnsi="仿宋" w:eastAsia="仿宋" w:cs="仿宋"/>
                <w:b/>
                <w:sz w:val="28"/>
                <w:szCs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restart"/>
            <w:tcBorders>
              <w:top w:val="nil"/>
              <w:left w:val="single" w:color="000000" w:sz="4" w:space="0"/>
              <w:right w:val="single" w:color="000000" w:sz="4" w:space="0"/>
            </w:tcBorders>
            <w:shd w:val="clear" w:color="auto" w:fill="F2DBDB"/>
            <w:vAlign w:val="center"/>
          </w:tcPr>
          <w:p>
            <w:pPr>
              <w:jc w:val="center"/>
              <w:textAlignment w:val="center"/>
              <w:rPr>
                <w:rFonts w:ascii="仿宋" w:hAnsi="仿宋" w:eastAsia="仿宋" w:cs="仿宋"/>
                <w:b/>
                <w:sz w:val="24"/>
                <w:szCs w:val="24"/>
              </w:rPr>
            </w:pPr>
            <w:r>
              <w:rPr>
                <w:rFonts w:hint="eastAsia" w:ascii="仿宋" w:hAnsi="仿宋" w:eastAsia="仿宋" w:cs="仿宋"/>
                <w:b/>
                <w:color w:val="000000"/>
                <w:sz w:val="24"/>
                <w:szCs w:val="24"/>
              </w:rPr>
              <w:t>奥运会</w:t>
            </w:r>
          </w:p>
        </w:tc>
        <w:tc>
          <w:tcPr>
            <w:tcW w:w="1091" w:type="dxa"/>
            <w:vMerge w:val="restart"/>
            <w:tcBorders>
              <w:top w:val="nil"/>
              <w:left w:val="nil"/>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董  栋</w:t>
            </w:r>
          </w:p>
        </w:tc>
        <w:tc>
          <w:tcPr>
            <w:tcW w:w="1663" w:type="dxa"/>
            <w:vMerge w:val="restart"/>
            <w:tcBorders>
              <w:top w:val="single" w:color="000000" w:sz="4" w:space="0"/>
              <w:left w:val="nil"/>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蹦  床</w:t>
            </w:r>
          </w:p>
        </w:tc>
        <w:tc>
          <w:tcPr>
            <w:tcW w:w="1417" w:type="dxa"/>
            <w:tcBorders>
              <w:top w:val="single" w:color="000000" w:sz="4" w:space="0"/>
              <w:left w:val="nil"/>
              <w:bottom w:val="single" w:color="000000" w:sz="4" w:space="0"/>
              <w:right w:val="single" w:color="000000" w:sz="4" w:space="0"/>
            </w:tcBorders>
            <w:shd w:val="clear" w:color="auto" w:fill="F2DBDB"/>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铜牌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2008</w:t>
            </w:r>
          </w:p>
        </w:tc>
        <w:tc>
          <w:tcPr>
            <w:tcW w:w="1610" w:type="dxa"/>
            <w:vMerge w:val="restart"/>
            <w:tcBorders>
              <w:top w:val="single" w:color="000000" w:sz="4" w:space="0"/>
              <w:left w:val="nil"/>
              <w:right w:val="single" w:color="000000" w:sz="4" w:space="0"/>
            </w:tcBorders>
            <w:shd w:val="clear" w:color="auto" w:fill="D6E3BC"/>
            <w:vAlign w:val="center"/>
          </w:tcPr>
          <w:p>
            <w:pPr>
              <w:jc w:val="center"/>
              <w:rPr>
                <w:rFonts w:ascii="仿宋" w:hAnsi="仿宋" w:eastAsia="仿宋" w:cs="仿宋"/>
                <w:b/>
                <w:sz w:val="24"/>
                <w:szCs w:val="24"/>
              </w:rPr>
            </w:pPr>
            <w:r>
              <w:rPr>
                <w:rFonts w:hint="eastAsia" w:ascii="仿宋" w:hAnsi="仿宋" w:eastAsia="仿宋" w:cs="仿宋"/>
                <w:b/>
                <w:sz w:val="24"/>
                <w:szCs w:val="24"/>
              </w:rPr>
              <w:t>奥运会奖牌：</w:t>
            </w:r>
          </w:p>
          <w:p>
            <w:pPr>
              <w:jc w:val="center"/>
              <w:rPr>
                <w:rFonts w:ascii="仿宋" w:hAnsi="仿宋" w:eastAsia="仿宋" w:cs="仿宋"/>
                <w:b/>
                <w:sz w:val="24"/>
                <w:szCs w:val="24"/>
              </w:rPr>
            </w:pPr>
            <w:r>
              <w:rPr>
                <w:rFonts w:hint="eastAsia" w:ascii="仿宋" w:hAnsi="仿宋" w:eastAsia="仿宋" w:cs="仿宋"/>
                <w:b/>
                <w:sz w:val="24"/>
                <w:szCs w:val="24"/>
              </w:rPr>
              <w:t>金牌</w:t>
            </w:r>
            <w:r>
              <w:rPr>
                <w:rFonts w:hint="eastAsia" w:ascii="仿宋" w:hAnsi="仿宋" w:eastAsia="仿宋" w:cs="仿宋"/>
                <w:b/>
                <w:sz w:val="24"/>
                <w:szCs w:val="24"/>
                <w:lang w:val="en-US" w:eastAsia="zh-CN"/>
              </w:rPr>
              <w:t>2</w:t>
            </w:r>
            <w:r>
              <w:rPr>
                <w:rFonts w:hint="eastAsia" w:ascii="仿宋" w:hAnsi="仿宋" w:eastAsia="仿宋" w:cs="仿宋"/>
                <w:b/>
                <w:sz w:val="24"/>
                <w:szCs w:val="24"/>
              </w:rPr>
              <w:t>枚</w:t>
            </w:r>
          </w:p>
          <w:p>
            <w:pPr>
              <w:jc w:val="center"/>
              <w:rPr>
                <w:rFonts w:ascii="仿宋" w:hAnsi="仿宋" w:eastAsia="仿宋" w:cs="仿宋"/>
                <w:b/>
                <w:sz w:val="24"/>
                <w:szCs w:val="24"/>
              </w:rPr>
            </w:pPr>
            <w:r>
              <w:rPr>
                <w:rFonts w:hint="eastAsia" w:ascii="仿宋" w:hAnsi="仿宋" w:eastAsia="仿宋" w:cs="仿宋"/>
                <w:b/>
                <w:sz w:val="24"/>
                <w:szCs w:val="24"/>
              </w:rPr>
              <w:t>银牌</w:t>
            </w:r>
            <w:r>
              <w:rPr>
                <w:rFonts w:hint="eastAsia" w:ascii="仿宋" w:hAnsi="仿宋" w:eastAsia="仿宋" w:cs="仿宋"/>
                <w:b/>
                <w:sz w:val="24"/>
                <w:szCs w:val="24"/>
                <w:lang w:val="en-US" w:eastAsia="zh-CN"/>
              </w:rPr>
              <w:t>4</w:t>
            </w:r>
            <w:r>
              <w:rPr>
                <w:rFonts w:hint="eastAsia" w:ascii="仿宋" w:hAnsi="仿宋" w:eastAsia="仿宋" w:cs="仿宋"/>
                <w:b/>
                <w:sz w:val="24"/>
                <w:szCs w:val="24"/>
              </w:rPr>
              <w:t>枚</w:t>
            </w:r>
          </w:p>
          <w:p>
            <w:pPr>
              <w:jc w:val="center"/>
              <w:rPr>
                <w:rFonts w:ascii="仿宋" w:hAnsi="仿宋" w:eastAsia="仿宋" w:cs="仿宋"/>
                <w:b/>
                <w:sz w:val="24"/>
                <w:szCs w:val="24"/>
              </w:rPr>
            </w:pPr>
            <w:r>
              <w:rPr>
                <w:rFonts w:hint="eastAsia" w:ascii="仿宋" w:hAnsi="仿宋" w:eastAsia="仿宋" w:cs="仿宋"/>
                <w:b/>
                <w:sz w:val="24"/>
                <w:szCs w:val="24"/>
              </w:rPr>
              <w:t>铜牌1枚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left w:val="single" w:color="000000" w:sz="4" w:space="0"/>
              <w:right w:val="single" w:color="000000" w:sz="4" w:space="0"/>
            </w:tcBorders>
            <w:shd w:val="clear" w:color="auto" w:fill="F2DBDB"/>
            <w:vAlign w:val="center"/>
          </w:tcPr>
          <w:p>
            <w:pPr>
              <w:jc w:val="center"/>
              <w:textAlignment w:val="center"/>
              <w:rPr>
                <w:rFonts w:ascii="仿宋" w:hAnsi="仿宋" w:eastAsia="仿宋" w:cs="仿宋"/>
                <w:b/>
                <w:sz w:val="24"/>
                <w:szCs w:val="24"/>
              </w:rPr>
            </w:pPr>
          </w:p>
        </w:tc>
        <w:tc>
          <w:tcPr>
            <w:tcW w:w="1091" w:type="dxa"/>
            <w:vMerge w:val="continue"/>
            <w:tcBorders>
              <w:left w:val="nil"/>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p>
        </w:tc>
        <w:tc>
          <w:tcPr>
            <w:tcW w:w="1663" w:type="dxa"/>
            <w:vMerge w:val="continue"/>
            <w:tcBorders>
              <w:left w:val="nil"/>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sz w:val="24"/>
                <w:szCs w:val="24"/>
              </w:rPr>
            </w:pPr>
            <w:r>
              <w:rPr>
                <w:rFonts w:hint="eastAsia" w:ascii="仿宋" w:hAnsi="仿宋" w:eastAsia="仿宋" w:cs="仿宋"/>
                <w:b/>
                <w:color w:val="000000"/>
                <w:sz w:val="24"/>
                <w:szCs w:val="24"/>
              </w:rPr>
              <w:t>金牌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sz w:val="24"/>
                <w:szCs w:val="24"/>
              </w:rPr>
            </w:pPr>
            <w:r>
              <w:rPr>
                <w:rFonts w:hint="eastAsia" w:ascii="仿宋" w:hAnsi="仿宋" w:eastAsia="仿宋" w:cs="仿宋"/>
                <w:b/>
                <w:color w:val="000000"/>
                <w:sz w:val="24"/>
                <w:szCs w:val="24"/>
              </w:rPr>
              <w:t>2012</w:t>
            </w:r>
          </w:p>
        </w:tc>
        <w:tc>
          <w:tcPr>
            <w:tcW w:w="1610" w:type="dxa"/>
            <w:vMerge w:val="continue"/>
            <w:tcBorders>
              <w:left w:val="nil"/>
              <w:right w:val="single" w:color="000000" w:sz="4" w:space="0"/>
            </w:tcBorders>
            <w:shd w:val="clear" w:color="auto" w:fill="D6E3BC"/>
            <w:vAlign w:val="center"/>
          </w:tcPr>
          <w:p>
            <w:pPr>
              <w:jc w:val="center"/>
              <w:rPr>
                <w:rFonts w:ascii="仿宋" w:hAnsi="仿宋" w:eastAsia="仿宋" w:cs="仿宋"/>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left w:val="single" w:color="000000" w:sz="4" w:space="0"/>
              <w:right w:val="single" w:color="000000" w:sz="4" w:space="0"/>
            </w:tcBorders>
            <w:shd w:val="clear" w:color="auto" w:fill="F2DBDB"/>
            <w:vAlign w:val="center"/>
          </w:tcPr>
          <w:p>
            <w:pPr>
              <w:jc w:val="center"/>
              <w:rPr>
                <w:rFonts w:cs="Calibri"/>
                <w:szCs w:val="22"/>
              </w:rPr>
            </w:pPr>
          </w:p>
        </w:tc>
        <w:tc>
          <w:tcPr>
            <w:tcW w:w="1091" w:type="dxa"/>
            <w:vMerge w:val="continue"/>
            <w:tcBorders>
              <w:left w:val="nil"/>
              <w:right w:val="single" w:color="000000" w:sz="4" w:space="0"/>
            </w:tcBorders>
            <w:shd w:val="clear" w:color="auto" w:fill="F2DBDB"/>
            <w:vAlign w:val="center"/>
          </w:tcPr>
          <w:p>
            <w:pPr>
              <w:jc w:val="center"/>
              <w:rPr>
                <w:rFonts w:cs="Calibri"/>
                <w:szCs w:val="22"/>
              </w:rPr>
            </w:pPr>
          </w:p>
        </w:tc>
        <w:tc>
          <w:tcPr>
            <w:tcW w:w="1663" w:type="dxa"/>
            <w:vMerge w:val="continue"/>
            <w:tcBorders>
              <w:left w:val="nil"/>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银牌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2016</w:t>
            </w:r>
          </w:p>
        </w:tc>
        <w:tc>
          <w:tcPr>
            <w:tcW w:w="1610" w:type="dxa"/>
            <w:vMerge w:val="continue"/>
            <w:tcBorders>
              <w:left w:val="nil"/>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left w:val="single" w:color="000000" w:sz="4" w:space="0"/>
              <w:right w:val="single" w:color="000000" w:sz="4" w:space="0"/>
            </w:tcBorders>
            <w:shd w:val="clear" w:color="auto" w:fill="F2DBDB"/>
            <w:vAlign w:val="center"/>
          </w:tcPr>
          <w:p>
            <w:pPr>
              <w:jc w:val="center"/>
              <w:rPr>
                <w:rFonts w:cs="Calibri"/>
                <w:szCs w:val="22"/>
              </w:rPr>
            </w:pPr>
          </w:p>
        </w:tc>
        <w:tc>
          <w:tcPr>
            <w:tcW w:w="1091" w:type="dxa"/>
            <w:vMerge w:val="continue"/>
            <w:tcBorders>
              <w:left w:val="nil"/>
              <w:bottom w:val="single" w:color="000000" w:sz="4" w:space="0"/>
              <w:right w:val="single" w:color="000000" w:sz="4" w:space="0"/>
            </w:tcBorders>
            <w:shd w:val="clear" w:color="auto" w:fill="F2DBDB"/>
            <w:vAlign w:val="center"/>
          </w:tcPr>
          <w:p>
            <w:pPr>
              <w:jc w:val="center"/>
              <w:rPr>
                <w:rFonts w:cs="Calibri"/>
                <w:szCs w:val="22"/>
              </w:rPr>
            </w:pPr>
          </w:p>
        </w:tc>
        <w:tc>
          <w:tcPr>
            <w:tcW w:w="1663" w:type="dxa"/>
            <w:vMerge w:val="continue"/>
            <w:tcBorders>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银牌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hint="default"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2021</w:t>
            </w:r>
          </w:p>
        </w:tc>
        <w:tc>
          <w:tcPr>
            <w:tcW w:w="1610" w:type="dxa"/>
            <w:vMerge w:val="continue"/>
            <w:tcBorders>
              <w:left w:val="nil"/>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left w:val="single" w:color="000000" w:sz="4" w:space="0"/>
              <w:right w:val="single" w:color="000000" w:sz="4" w:space="0"/>
            </w:tcBorders>
            <w:shd w:val="clear" w:color="auto" w:fill="F2DBDB"/>
            <w:vAlign w:val="center"/>
          </w:tcPr>
          <w:p>
            <w:pPr>
              <w:jc w:val="center"/>
              <w:rPr>
                <w:rFonts w:cs="Calibri"/>
                <w:szCs w:val="22"/>
              </w:rPr>
            </w:pPr>
          </w:p>
        </w:tc>
        <w:tc>
          <w:tcPr>
            <w:tcW w:w="1091"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常永祥</w:t>
            </w:r>
          </w:p>
        </w:tc>
        <w:tc>
          <w:tcPr>
            <w:tcW w:w="1663"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古典跤</w:t>
            </w: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银牌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2008</w:t>
            </w:r>
          </w:p>
        </w:tc>
        <w:tc>
          <w:tcPr>
            <w:tcW w:w="1610" w:type="dxa"/>
            <w:vMerge w:val="continue"/>
            <w:tcBorders>
              <w:left w:val="nil"/>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left w:val="single" w:color="000000" w:sz="4" w:space="0"/>
              <w:right w:val="single" w:color="000000" w:sz="4" w:space="0"/>
            </w:tcBorders>
            <w:shd w:val="clear" w:color="auto" w:fill="F2DBDB"/>
            <w:vAlign w:val="center"/>
          </w:tcPr>
          <w:p>
            <w:pPr>
              <w:jc w:val="center"/>
              <w:rPr>
                <w:rFonts w:cs="Calibri"/>
                <w:szCs w:val="22"/>
              </w:rPr>
            </w:pPr>
          </w:p>
        </w:tc>
        <w:tc>
          <w:tcPr>
            <w:tcW w:w="1091"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方玉婷</w:t>
            </w:r>
          </w:p>
        </w:tc>
        <w:tc>
          <w:tcPr>
            <w:tcW w:w="1663"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射  箭</w:t>
            </w: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银牌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2012</w:t>
            </w:r>
          </w:p>
        </w:tc>
        <w:tc>
          <w:tcPr>
            <w:tcW w:w="1610" w:type="dxa"/>
            <w:vMerge w:val="continue"/>
            <w:tcBorders>
              <w:left w:val="nil"/>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left w:val="single" w:color="000000" w:sz="4" w:space="0"/>
              <w:bottom w:val="single" w:color="000000" w:sz="4" w:space="0"/>
              <w:right w:val="single" w:color="000000" w:sz="4" w:space="0"/>
            </w:tcBorders>
            <w:shd w:val="clear" w:color="auto" w:fill="F2DBDB"/>
            <w:vAlign w:val="center"/>
          </w:tcPr>
          <w:p>
            <w:pPr>
              <w:jc w:val="center"/>
              <w:rPr>
                <w:rFonts w:cs="Calibri"/>
                <w:szCs w:val="22"/>
              </w:rPr>
            </w:pPr>
          </w:p>
        </w:tc>
        <w:tc>
          <w:tcPr>
            <w:tcW w:w="1091"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hint="eastAsia"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唐  皓</w:t>
            </w:r>
          </w:p>
        </w:tc>
        <w:tc>
          <w:tcPr>
            <w:tcW w:w="1663"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hint="eastAsia" w:ascii="仿宋" w:hAnsi="仿宋" w:eastAsia="仿宋" w:cs="仿宋"/>
                <w:b/>
                <w:color w:val="000000"/>
                <w:sz w:val="24"/>
                <w:szCs w:val="24"/>
                <w:lang w:eastAsia="zh-CN"/>
              </w:rPr>
            </w:pPr>
            <w:r>
              <w:rPr>
                <w:rFonts w:hint="eastAsia" w:ascii="仿宋" w:hAnsi="仿宋" w:eastAsia="仿宋" w:cs="仿宋"/>
                <w:b/>
                <w:color w:val="000000"/>
                <w:sz w:val="24"/>
                <w:szCs w:val="24"/>
                <w:lang w:eastAsia="zh-CN"/>
              </w:rPr>
              <w:t>跆拳道</w:t>
            </w: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hint="eastAsia" w:ascii="仿宋" w:hAnsi="仿宋" w:eastAsia="仿宋" w:cs="仿宋"/>
                <w:b/>
                <w:color w:val="000000"/>
                <w:sz w:val="24"/>
                <w:szCs w:val="24"/>
                <w:lang w:eastAsia="zh-CN"/>
              </w:rPr>
            </w:pPr>
            <w:r>
              <w:rPr>
                <w:rFonts w:hint="eastAsia" w:ascii="仿宋" w:hAnsi="仿宋" w:eastAsia="仿宋" w:cs="仿宋"/>
                <w:b/>
                <w:color w:val="000000"/>
                <w:sz w:val="24"/>
                <w:szCs w:val="24"/>
                <w:lang w:eastAsia="zh-CN"/>
              </w:rPr>
              <w:t>金牌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hint="default"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2021</w:t>
            </w:r>
          </w:p>
        </w:tc>
        <w:tc>
          <w:tcPr>
            <w:tcW w:w="1610" w:type="dxa"/>
            <w:vMerge w:val="continue"/>
            <w:tcBorders>
              <w:left w:val="nil"/>
              <w:bottom w:val="single" w:color="000000" w:sz="4" w:space="0"/>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restart"/>
            <w:tcBorders>
              <w:top w:val="nil"/>
              <w:left w:val="single" w:color="000000" w:sz="4" w:space="0"/>
              <w:right w:val="single" w:color="000000" w:sz="4" w:space="0"/>
            </w:tcBorders>
            <w:shd w:val="clear" w:color="auto" w:fill="F2DBDB"/>
            <w:vAlign w:val="center"/>
          </w:tcPr>
          <w:p>
            <w:pPr>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亚运会</w:t>
            </w:r>
          </w:p>
        </w:tc>
        <w:tc>
          <w:tcPr>
            <w:tcW w:w="1091" w:type="dxa"/>
            <w:vMerge w:val="restart"/>
            <w:tcBorders>
              <w:top w:val="nil"/>
              <w:left w:val="nil"/>
              <w:bottom w:val="single" w:color="000000" w:sz="4" w:space="0"/>
              <w:right w:val="single" w:color="000000" w:sz="4" w:space="0"/>
            </w:tcBorders>
            <w:shd w:val="clear" w:color="auto" w:fill="F2DBDB"/>
            <w:vAlign w:val="center"/>
          </w:tcPr>
          <w:p>
            <w:pPr>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董  栋</w:t>
            </w:r>
          </w:p>
        </w:tc>
        <w:tc>
          <w:tcPr>
            <w:tcW w:w="1663" w:type="dxa"/>
            <w:vMerge w:val="restart"/>
            <w:tcBorders>
              <w:top w:val="single" w:color="000000" w:sz="4" w:space="0"/>
              <w:left w:val="nil"/>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蹦  床</w:t>
            </w: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金牌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2010</w:t>
            </w:r>
          </w:p>
        </w:tc>
        <w:tc>
          <w:tcPr>
            <w:tcW w:w="1610" w:type="dxa"/>
            <w:vMerge w:val="restart"/>
            <w:tcBorders>
              <w:top w:val="single" w:color="000000" w:sz="4" w:space="0"/>
              <w:left w:val="nil"/>
              <w:right w:val="single" w:color="000000" w:sz="4" w:space="0"/>
            </w:tcBorders>
            <w:shd w:val="clear" w:color="auto" w:fill="D6E3BC"/>
            <w:vAlign w:val="center"/>
          </w:tcPr>
          <w:p>
            <w:pPr>
              <w:jc w:val="center"/>
              <w:rPr>
                <w:rFonts w:ascii="仿宋" w:hAnsi="仿宋" w:eastAsia="仿宋" w:cs="仿宋"/>
                <w:b/>
                <w:sz w:val="24"/>
                <w:szCs w:val="24"/>
              </w:rPr>
            </w:pPr>
            <w:r>
              <w:rPr>
                <w:rFonts w:hint="eastAsia" w:ascii="仿宋" w:hAnsi="仿宋" w:eastAsia="仿宋" w:cs="仿宋"/>
                <w:b/>
                <w:sz w:val="24"/>
                <w:szCs w:val="24"/>
              </w:rPr>
              <w:t>亚运会奖牌：</w:t>
            </w:r>
          </w:p>
          <w:p>
            <w:pPr>
              <w:jc w:val="center"/>
              <w:rPr>
                <w:rFonts w:ascii="仿宋" w:hAnsi="仿宋" w:eastAsia="仿宋" w:cs="仿宋"/>
                <w:b/>
                <w:sz w:val="24"/>
                <w:szCs w:val="24"/>
              </w:rPr>
            </w:pPr>
            <w:r>
              <w:rPr>
                <w:rFonts w:hint="eastAsia" w:ascii="仿宋" w:hAnsi="仿宋" w:eastAsia="仿宋" w:cs="仿宋"/>
                <w:b/>
                <w:sz w:val="24"/>
                <w:szCs w:val="24"/>
              </w:rPr>
              <w:t>金牌</w:t>
            </w:r>
            <w:r>
              <w:rPr>
                <w:rFonts w:hint="eastAsia" w:ascii="仿宋" w:hAnsi="仿宋" w:eastAsia="仿宋" w:cs="仿宋"/>
                <w:b/>
                <w:sz w:val="24"/>
                <w:szCs w:val="24"/>
                <w:lang w:val="en-US" w:eastAsia="zh-CN"/>
              </w:rPr>
              <w:t>4</w:t>
            </w:r>
            <w:r>
              <w:rPr>
                <w:rFonts w:hint="eastAsia" w:ascii="仿宋" w:hAnsi="仿宋" w:eastAsia="仿宋" w:cs="仿宋"/>
                <w:b/>
                <w:sz w:val="24"/>
                <w:szCs w:val="24"/>
              </w:rPr>
              <w:t>枚</w:t>
            </w:r>
          </w:p>
          <w:p>
            <w:pPr>
              <w:jc w:val="center"/>
              <w:rPr>
                <w:rFonts w:ascii="仿宋" w:hAnsi="仿宋" w:eastAsia="仿宋" w:cs="仿宋"/>
                <w:b/>
                <w:sz w:val="24"/>
                <w:szCs w:val="24"/>
              </w:rPr>
            </w:pPr>
            <w:r>
              <w:rPr>
                <w:rFonts w:hint="eastAsia" w:ascii="仿宋" w:hAnsi="仿宋" w:eastAsia="仿宋" w:cs="仿宋"/>
                <w:b/>
                <w:sz w:val="24"/>
                <w:szCs w:val="24"/>
              </w:rPr>
              <w:t>银牌2枚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left w:val="single" w:color="000000" w:sz="4" w:space="0"/>
              <w:right w:val="single" w:color="000000" w:sz="4" w:space="0"/>
            </w:tcBorders>
            <w:shd w:val="clear" w:color="auto" w:fill="F2DBDB"/>
            <w:vAlign w:val="center"/>
          </w:tcPr>
          <w:p>
            <w:pPr>
              <w:jc w:val="center"/>
              <w:rPr>
                <w:rFonts w:cs="Calibri"/>
                <w:szCs w:val="22"/>
              </w:rPr>
            </w:pPr>
          </w:p>
        </w:tc>
        <w:tc>
          <w:tcPr>
            <w:tcW w:w="1091" w:type="dxa"/>
            <w:vMerge w:val="continue"/>
            <w:tcBorders>
              <w:top w:val="nil"/>
              <w:left w:val="nil"/>
              <w:bottom w:val="single" w:color="000000" w:sz="4" w:space="0"/>
              <w:right w:val="single" w:color="000000" w:sz="4" w:space="0"/>
            </w:tcBorders>
            <w:shd w:val="clear" w:color="auto" w:fill="F2DBDB"/>
            <w:vAlign w:val="center"/>
          </w:tcPr>
          <w:p>
            <w:pPr>
              <w:jc w:val="center"/>
              <w:rPr>
                <w:rFonts w:cs="Calibri"/>
                <w:szCs w:val="22"/>
              </w:rPr>
            </w:pPr>
          </w:p>
        </w:tc>
        <w:tc>
          <w:tcPr>
            <w:tcW w:w="1663" w:type="dxa"/>
            <w:vMerge w:val="continue"/>
            <w:tcBorders>
              <w:left w:val="nil"/>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金牌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2014</w:t>
            </w:r>
          </w:p>
        </w:tc>
        <w:tc>
          <w:tcPr>
            <w:tcW w:w="1610" w:type="dxa"/>
            <w:vMerge w:val="continue"/>
            <w:tcBorders>
              <w:left w:val="nil"/>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left w:val="single" w:color="000000" w:sz="4" w:space="0"/>
              <w:right w:val="single" w:color="000000" w:sz="4" w:space="0"/>
            </w:tcBorders>
            <w:shd w:val="clear" w:color="auto" w:fill="F2DBDB"/>
            <w:vAlign w:val="center"/>
          </w:tcPr>
          <w:p>
            <w:pPr>
              <w:jc w:val="center"/>
              <w:rPr>
                <w:rFonts w:cs="Calibri"/>
                <w:szCs w:val="22"/>
              </w:rPr>
            </w:pPr>
          </w:p>
        </w:tc>
        <w:tc>
          <w:tcPr>
            <w:tcW w:w="1091" w:type="dxa"/>
            <w:vMerge w:val="continue"/>
            <w:tcBorders>
              <w:top w:val="nil"/>
              <w:left w:val="nil"/>
              <w:bottom w:val="single" w:color="000000" w:sz="4" w:space="0"/>
              <w:right w:val="single" w:color="000000" w:sz="4" w:space="0"/>
            </w:tcBorders>
            <w:shd w:val="clear" w:color="auto" w:fill="F2DBDB"/>
            <w:vAlign w:val="center"/>
          </w:tcPr>
          <w:p>
            <w:pPr>
              <w:jc w:val="center"/>
              <w:rPr>
                <w:rFonts w:cs="Calibri"/>
                <w:szCs w:val="22"/>
              </w:rPr>
            </w:pPr>
          </w:p>
        </w:tc>
        <w:tc>
          <w:tcPr>
            <w:tcW w:w="1663" w:type="dxa"/>
            <w:vMerge w:val="continue"/>
            <w:tcBorders>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金牌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2018</w:t>
            </w:r>
          </w:p>
        </w:tc>
        <w:tc>
          <w:tcPr>
            <w:tcW w:w="1610" w:type="dxa"/>
            <w:vMerge w:val="continue"/>
            <w:tcBorders>
              <w:left w:val="nil"/>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left w:val="single" w:color="000000" w:sz="4" w:space="0"/>
              <w:right w:val="single" w:color="000000" w:sz="4" w:space="0"/>
            </w:tcBorders>
            <w:shd w:val="clear" w:color="auto" w:fill="F2DBDB"/>
            <w:vAlign w:val="center"/>
          </w:tcPr>
          <w:p>
            <w:pPr>
              <w:jc w:val="center"/>
              <w:rPr>
                <w:rFonts w:cs="Calibri"/>
                <w:szCs w:val="22"/>
              </w:rPr>
            </w:pPr>
          </w:p>
        </w:tc>
        <w:tc>
          <w:tcPr>
            <w:tcW w:w="1091"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冯兰兰</w:t>
            </w:r>
          </w:p>
        </w:tc>
        <w:tc>
          <w:tcPr>
            <w:tcW w:w="1663"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空手道</w:t>
            </w: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金牌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2010</w:t>
            </w:r>
          </w:p>
        </w:tc>
        <w:tc>
          <w:tcPr>
            <w:tcW w:w="1610" w:type="dxa"/>
            <w:vMerge w:val="continue"/>
            <w:tcBorders>
              <w:left w:val="nil"/>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left w:val="single" w:color="000000" w:sz="4" w:space="0"/>
              <w:right w:val="single" w:color="000000" w:sz="4" w:space="0"/>
            </w:tcBorders>
            <w:shd w:val="clear" w:color="auto" w:fill="F2DBDB"/>
            <w:vAlign w:val="center"/>
          </w:tcPr>
          <w:p>
            <w:pPr>
              <w:jc w:val="center"/>
              <w:rPr>
                <w:rFonts w:cs="Calibri"/>
                <w:szCs w:val="22"/>
              </w:rPr>
            </w:pPr>
          </w:p>
        </w:tc>
        <w:tc>
          <w:tcPr>
            <w:tcW w:w="1091"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裴星茹</w:t>
            </w:r>
          </w:p>
        </w:tc>
        <w:tc>
          <w:tcPr>
            <w:tcW w:w="1663"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摔  跤</w:t>
            </w: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银牌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2018</w:t>
            </w:r>
          </w:p>
        </w:tc>
        <w:tc>
          <w:tcPr>
            <w:tcW w:w="1610" w:type="dxa"/>
            <w:vMerge w:val="continue"/>
            <w:tcBorders>
              <w:left w:val="nil"/>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left w:val="single" w:color="000000" w:sz="4" w:space="0"/>
              <w:bottom w:val="single" w:color="000000" w:sz="4" w:space="0"/>
              <w:right w:val="single" w:color="000000" w:sz="4" w:space="0"/>
            </w:tcBorders>
            <w:shd w:val="clear" w:color="auto" w:fill="F2DBDB"/>
            <w:vAlign w:val="center"/>
          </w:tcPr>
          <w:p>
            <w:pPr>
              <w:jc w:val="center"/>
              <w:textAlignment w:val="center"/>
              <w:rPr>
                <w:rFonts w:ascii="仿宋" w:hAnsi="仿宋" w:eastAsia="仿宋" w:cs="仿宋"/>
                <w:b/>
                <w:color w:val="000000"/>
                <w:sz w:val="24"/>
                <w:szCs w:val="24"/>
              </w:rPr>
            </w:pPr>
          </w:p>
        </w:tc>
        <w:tc>
          <w:tcPr>
            <w:tcW w:w="1091" w:type="dxa"/>
            <w:tcBorders>
              <w:top w:val="nil"/>
              <w:left w:val="nil"/>
              <w:bottom w:val="single" w:color="000000" w:sz="4" w:space="0"/>
              <w:right w:val="single" w:color="000000" w:sz="4" w:space="0"/>
            </w:tcBorders>
            <w:shd w:val="clear" w:color="auto" w:fill="F2DBDB"/>
            <w:vAlign w:val="center"/>
          </w:tcPr>
          <w:p>
            <w:pPr>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赵  瑾</w:t>
            </w:r>
          </w:p>
        </w:tc>
        <w:tc>
          <w:tcPr>
            <w:tcW w:w="1663"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游  泳</w:t>
            </w: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银牌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2011</w:t>
            </w:r>
          </w:p>
        </w:tc>
        <w:tc>
          <w:tcPr>
            <w:tcW w:w="1610" w:type="dxa"/>
            <w:vMerge w:val="continue"/>
            <w:tcBorders>
              <w:left w:val="nil"/>
              <w:bottom w:val="single" w:color="000000" w:sz="4" w:space="0"/>
              <w:right w:val="single" w:color="000000" w:sz="4" w:space="0"/>
            </w:tcBorders>
            <w:shd w:val="clear" w:color="auto" w:fill="D6E3BC"/>
            <w:vAlign w:val="center"/>
          </w:tcPr>
          <w:p>
            <w:pPr>
              <w:jc w:val="center"/>
              <w:rPr>
                <w:rFonts w:ascii="仿宋" w:hAnsi="仿宋" w:eastAsia="仿宋" w:cs="仿宋"/>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restart"/>
            <w:tcBorders>
              <w:top w:val="nil"/>
              <w:left w:val="single" w:color="000000" w:sz="4" w:space="0"/>
              <w:right w:val="single" w:color="000000" w:sz="4" w:space="0"/>
            </w:tcBorders>
            <w:shd w:val="clear" w:color="auto" w:fill="F2DBDB"/>
            <w:vAlign w:val="center"/>
          </w:tcPr>
          <w:p>
            <w:pPr>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世界杯</w:t>
            </w:r>
          </w:p>
        </w:tc>
        <w:tc>
          <w:tcPr>
            <w:tcW w:w="1091" w:type="dxa"/>
            <w:vMerge w:val="restart"/>
            <w:tcBorders>
              <w:top w:val="nil"/>
              <w:left w:val="nil"/>
              <w:right w:val="single" w:color="000000" w:sz="4" w:space="0"/>
            </w:tcBorders>
            <w:shd w:val="clear" w:color="auto" w:fill="F2DBDB"/>
            <w:vAlign w:val="center"/>
          </w:tcPr>
          <w:p>
            <w:pPr>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董  栋</w:t>
            </w:r>
          </w:p>
        </w:tc>
        <w:tc>
          <w:tcPr>
            <w:tcW w:w="1663" w:type="dxa"/>
            <w:vMerge w:val="restart"/>
            <w:tcBorders>
              <w:top w:val="single" w:color="000000" w:sz="4" w:space="0"/>
              <w:left w:val="nil"/>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蹦  床</w:t>
            </w: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金牌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2008</w:t>
            </w:r>
          </w:p>
        </w:tc>
        <w:tc>
          <w:tcPr>
            <w:tcW w:w="1610" w:type="dxa"/>
            <w:vMerge w:val="restart"/>
            <w:tcBorders>
              <w:top w:val="single" w:color="000000" w:sz="4" w:space="0"/>
              <w:left w:val="nil"/>
              <w:right w:val="single" w:color="000000" w:sz="4" w:space="0"/>
            </w:tcBorders>
            <w:shd w:val="clear" w:color="auto" w:fill="D6E3BC"/>
            <w:vAlign w:val="center"/>
          </w:tcPr>
          <w:p>
            <w:pPr>
              <w:jc w:val="center"/>
              <w:rPr>
                <w:rFonts w:ascii="仿宋" w:hAnsi="仿宋" w:eastAsia="仿宋" w:cs="仿宋"/>
                <w:b/>
                <w:sz w:val="24"/>
                <w:szCs w:val="24"/>
              </w:rPr>
            </w:pPr>
            <w:r>
              <w:rPr>
                <w:rFonts w:hint="eastAsia" w:ascii="仿宋" w:hAnsi="仿宋" w:eastAsia="仿宋" w:cs="仿宋"/>
                <w:b/>
                <w:sz w:val="24"/>
                <w:szCs w:val="24"/>
              </w:rPr>
              <w:t>世界杯奖牌：</w:t>
            </w:r>
          </w:p>
          <w:p>
            <w:pPr>
              <w:jc w:val="center"/>
              <w:rPr>
                <w:rFonts w:ascii="仿宋" w:hAnsi="仿宋" w:eastAsia="仿宋" w:cs="仿宋"/>
                <w:b/>
                <w:sz w:val="24"/>
                <w:szCs w:val="24"/>
              </w:rPr>
            </w:pPr>
            <w:r>
              <w:rPr>
                <w:rFonts w:hint="eastAsia" w:ascii="仿宋" w:hAnsi="仿宋" w:eastAsia="仿宋" w:cs="仿宋"/>
                <w:b/>
                <w:sz w:val="24"/>
                <w:szCs w:val="24"/>
              </w:rPr>
              <w:t>金牌8枚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left w:val="single" w:color="000000" w:sz="4" w:space="0"/>
              <w:right w:val="single" w:color="000000" w:sz="4" w:space="0"/>
            </w:tcBorders>
            <w:shd w:val="clear" w:color="auto" w:fill="F2DBDB"/>
            <w:vAlign w:val="center"/>
          </w:tcPr>
          <w:p>
            <w:pPr>
              <w:jc w:val="center"/>
              <w:rPr>
                <w:rFonts w:cs="Calibri"/>
                <w:szCs w:val="22"/>
              </w:rPr>
            </w:pPr>
          </w:p>
        </w:tc>
        <w:tc>
          <w:tcPr>
            <w:tcW w:w="1091" w:type="dxa"/>
            <w:vMerge w:val="continue"/>
            <w:tcBorders>
              <w:left w:val="nil"/>
              <w:right w:val="single" w:color="000000" w:sz="4" w:space="0"/>
            </w:tcBorders>
            <w:shd w:val="clear" w:color="auto" w:fill="F2DBDB"/>
            <w:vAlign w:val="center"/>
          </w:tcPr>
          <w:p>
            <w:pPr>
              <w:jc w:val="center"/>
              <w:rPr>
                <w:rFonts w:cs="Calibri"/>
                <w:szCs w:val="22"/>
              </w:rPr>
            </w:pPr>
          </w:p>
        </w:tc>
        <w:tc>
          <w:tcPr>
            <w:tcW w:w="1663" w:type="dxa"/>
            <w:vMerge w:val="continue"/>
            <w:tcBorders>
              <w:left w:val="nil"/>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金牌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2013</w:t>
            </w:r>
          </w:p>
        </w:tc>
        <w:tc>
          <w:tcPr>
            <w:tcW w:w="1610" w:type="dxa"/>
            <w:vMerge w:val="continue"/>
            <w:tcBorders>
              <w:left w:val="nil"/>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left w:val="single" w:color="000000" w:sz="4" w:space="0"/>
              <w:right w:val="single" w:color="000000" w:sz="4" w:space="0"/>
            </w:tcBorders>
            <w:shd w:val="clear" w:color="auto" w:fill="F2DBDB"/>
            <w:vAlign w:val="center"/>
          </w:tcPr>
          <w:p>
            <w:pPr>
              <w:jc w:val="center"/>
              <w:rPr>
                <w:rFonts w:cs="Calibri"/>
                <w:szCs w:val="22"/>
              </w:rPr>
            </w:pPr>
          </w:p>
        </w:tc>
        <w:tc>
          <w:tcPr>
            <w:tcW w:w="1091" w:type="dxa"/>
            <w:vMerge w:val="continue"/>
            <w:tcBorders>
              <w:left w:val="nil"/>
              <w:right w:val="single" w:color="000000" w:sz="4" w:space="0"/>
            </w:tcBorders>
            <w:shd w:val="clear" w:color="auto" w:fill="F2DBDB"/>
            <w:vAlign w:val="center"/>
          </w:tcPr>
          <w:p>
            <w:pPr>
              <w:jc w:val="center"/>
              <w:rPr>
                <w:rFonts w:cs="Calibri"/>
                <w:szCs w:val="22"/>
              </w:rPr>
            </w:pPr>
          </w:p>
        </w:tc>
        <w:tc>
          <w:tcPr>
            <w:tcW w:w="1663" w:type="dxa"/>
            <w:vMerge w:val="continue"/>
            <w:tcBorders>
              <w:left w:val="nil"/>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金牌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2013</w:t>
            </w:r>
          </w:p>
        </w:tc>
        <w:tc>
          <w:tcPr>
            <w:tcW w:w="1610" w:type="dxa"/>
            <w:vMerge w:val="continue"/>
            <w:tcBorders>
              <w:left w:val="nil"/>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left w:val="single" w:color="000000" w:sz="4" w:space="0"/>
              <w:right w:val="single" w:color="000000" w:sz="4" w:space="0"/>
            </w:tcBorders>
            <w:shd w:val="clear" w:color="auto" w:fill="F2DBDB"/>
            <w:vAlign w:val="center"/>
          </w:tcPr>
          <w:p>
            <w:pPr>
              <w:jc w:val="center"/>
              <w:rPr>
                <w:rFonts w:cs="Calibri"/>
                <w:szCs w:val="22"/>
              </w:rPr>
            </w:pPr>
          </w:p>
        </w:tc>
        <w:tc>
          <w:tcPr>
            <w:tcW w:w="1091" w:type="dxa"/>
            <w:vMerge w:val="continue"/>
            <w:tcBorders>
              <w:left w:val="nil"/>
              <w:right w:val="single" w:color="000000" w:sz="4" w:space="0"/>
            </w:tcBorders>
            <w:shd w:val="clear" w:color="auto" w:fill="F2DBDB"/>
            <w:vAlign w:val="center"/>
          </w:tcPr>
          <w:p>
            <w:pPr>
              <w:jc w:val="center"/>
              <w:rPr>
                <w:rFonts w:cs="Calibri"/>
                <w:szCs w:val="22"/>
              </w:rPr>
            </w:pPr>
          </w:p>
        </w:tc>
        <w:tc>
          <w:tcPr>
            <w:tcW w:w="1663" w:type="dxa"/>
            <w:vMerge w:val="continue"/>
            <w:tcBorders>
              <w:left w:val="nil"/>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金牌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2018</w:t>
            </w:r>
          </w:p>
        </w:tc>
        <w:tc>
          <w:tcPr>
            <w:tcW w:w="1610" w:type="dxa"/>
            <w:vMerge w:val="continue"/>
            <w:tcBorders>
              <w:left w:val="nil"/>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left w:val="single" w:color="000000" w:sz="4" w:space="0"/>
              <w:right w:val="single" w:color="000000" w:sz="4" w:space="0"/>
            </w:tcBorders>
            <w:shd w:val="clear" w:color="auto" w:fill="F2DBDB"/>
            <w:vAlign w:val="center"/>
          </w:tcPr>
          <w:p>
            <w:pPr>
              <w:jc w:val="center"/>
              <w:rPr>
                <w:rFonts w:cs="Calibri"/>
                <w:szCs w:val="22"/>
              </w:rPr>
            </w:pPr>
          </w:p>
        </w:tc>
        <w:tc>
          <w:tcPr>
            <w:tcW w:w="1091" w:type="dxa"/>
            <w:vMerge w:val="continue"/>
            <w:tcBorders>
              <w:left w:val="nil"/>
              <w:right w:val="single" w:color="000000" w:sz="4" w:space="0"/>
            </w:tcBorders>
            <w:shd w:val="clear" w:color="auto" w:fill="F2DBDB"/>
            <w:vAlign w:val="center"/>
          </w:tcPr>
          <w:p>
            <w:pPr>
              <w:jc w:val="center"/>
              <w:rPr>
                <w:rFonts w:cs="Calibri"/>
                <w:szCs w:val="22"/>
              </w:rPr>
            </w:pPr>
          </w:p>
        </w:tc>
        <w:tc>
          <w:tcPr>
            <w:tcW w:w="1663" w:type="dxa"/>
            <w:vMerge w:val="continue"/>
            <w:tcBorders>
              <w:left w:val="nil"/>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金牌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2019</w:t>
            </w:r>
          </w:p>
        </w:tc>
        <w:tc>
          <w:tcPr>
            <w:tcW w:w="1610" w:type="dxa"/>
            <w:vMerge w:val="continue"/>
            <w:tcBorders>
              <w:left w:val="nil"/>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left w:val="single" w:color="000000" w:sz="4" w:space="0"/>
              <w:right w:val="single" w:color="000000" w:sz="4" w:space="0"/>
            </w:tcBorders>
            <w:shd w:val="clear" w:color="auto" w:fill="F2DBDB"/>
            <w:vAlign w:val="center"/>
          </w:tcPr>
          <w:p>
            <w:pPr>
              <w:jc w:val="center"/>
              <w:rPr>
                <w:rFonts w:cs="Calibri"/>
                <w:szCs w:val="22"/>
              </w:rPr>
            </w:pPr>
          </w:p>
        </w:tc>
        <w:tc>
          <w:tcPr>
            <w:tcW w:w="1091" w:type="dxa"/>
            <w:vMerge w:val="continue"/>
            <w:tcBorders>
              <w:left w:val="nil"/>
              <w:bottom w:val="single" w:color="000000" w:sz="4" w:space="0"/>
              <w:right w:val="single" w:color="000000" w:sz="4" w:space="0"/>
            </w:tcBorders>
            <w:shd w:val="clear" w:color="auto" w:fill="F2DBDB"/>
            <w:vAlign w:val="center"/>
          </w:tcPr>
          <w:p>
            <w:pPr>
              <w:ind w:firstLine="241" w:firstLineChars="100"/>
              <w:jc w:val="center"/>
              <w:rPr>
                <w:rFonts w:ascii="仿宋" w:hAnsi="仿宋" w:eastAsia="仿宋" w:cs="仿宋"/>
                <w:b/>
                <w:bCs/>
                <w:color w:val="000000"/>
                <w:sz w:val="24"/>
                <w:szCs w:val="24"/>
                <w:shd w:val="clear" w:color="auto" w:fill="FFFFFF"/>
              </w:rPr>
            </w:pPr>
          </w:p>
        </w:tc>
        <w:tc>
          <w:tcPr>
            <w:tcW w:w="1663" w:type="dxa"/>
            <w:vMerge w:val="continue"/>
            <w:tcBorders>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金牌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2019</w:t>
            </w:r>
          </w:p>
        </w:tc>
        <w:tc>
          <w:tcPr>
            <w:tcW w:w="1610" w:type="dxa"/>
            <w:vMerge w:val="continue"/>
            <w:tcBorders>
              <w:left w:val="nil"/>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left w:val="single" w:color="000000" w:sz="4" w:space="0"/>
              <w:right w:val="single" w:color="000000" w:sz="4" w:space="0"/>
            </w:tcBorders>
            <w:shd w:val="clear" w:color="auto" w:fill="F2DBDB"/>
            <w:vAlign w:val="center"/>
          </w:tcPr>
          <w:p>
            <w:pPr>
              <w:jc w:val="center"/>
              <w:rPr>
                <w:rFonts w:cs="Calibri"/>
                <w:szCs w:val="22"/>
              </w:rPr>
            </w:pPr>
          </w:p>
        </w:tc>
        <w:tc>
          <w:tcPr>
            <w:tcW w:w="1091" w:type="dxa"/>
            <w:tcBorders>
              <w:top w:val="nil"/>
              <w:left w:val="nil"/>
              <w:bottom w:val="single" w:color="000000" w:sz="4" w:space="0"/>
              <w:right w:val="single" w:color="000000" w:sz="4" w:space="0"/>
            </w:tcBorders>
            <w:shd w:val="clear" w:color="auto" w:fill="F2DBDB"/>
            <w:vAlign w:val="center"/>
          </w:tcPr>
          <w:p>
            <w:pPr>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赵  瑾</w:t>
            </w:r>
          </w:p>
        </w:tc>
        <w:tc>
          <w:tcPr>
            <w:tcW w:w="1663"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游  泳</w:t>
            </w: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金牌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2010</w:t>
            </w:r>
          </w:p>
        </w:tc>
        <w:tc>
          <w:tcPr>
            <w:tcW w:w="1610" w:type="dxa"/>
            <w:vMerge w:val="continue"/>
            <w:tcBorders>
              <w:left w:val="nil"/>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left w:val="single" w:color="000000" w:sz="4" w:space="0"/>
              <w:bottom w:val="single" w:color="000000" w:sz="4" w:space="0"/>
              <w:right w:val="single" w:color="000000" w:sz="4" w:space="0"/>
            </w:tcBorders>
            <w:shd w:val="clear" w:color="auto" w:fill="F2DBDB"/>
            <w:vAlign w:val="center"/>
          </w:tcPr>
          <w:p>
            <w:pPr>
              <w:jc w:val="center"/>
              <w:rPr>
                <w:rFonts w:cs="Calibri"/>
                <w:szCs w:val="22"/>
              </w:rPr>
            </w:pPr>
          </w:p>
        </w:tc>
        <w:tc>
          <w:tcPr>
            <w:tcW w:w="1091" w:type="dxa"/>
            <w:tcBorders>
              <w:top w:val="nil"/>
              <w:left w:val="nil"/>
              <w:bottom w:val="single" w:color="000000" w:sz="4" w:space="0"/>
              <w:right w:val="single" w:color="000000" w:sz="4" w:space="0"/>
            </w:tcBorders>
            <w:shd w:val="clear" w:color="auto" w:fill="F2DBDB"/>
            <w:vAlign w:val="center"/>
          </w:tcPr>
          <w:p>
            <w:pPr>
              <w:jc w:val="center"/>
              <w:rPr>
                <w:rFonts w:cs="Calibri"/>
                <w:szCs w:val="22"/>
              </w:rPr>
            </w:pPr>
            <w:r>
              <w:rPr>
                <w:rFonts w:hint="eastAsia" w:ascii="仿宋" w:hAnsi="仿宋" w:eastAsia="仿宋" w:cs="仿宋"/>
                <w:b/>
                <w:bCs/>
                <w:color w:val="000000"/>
                <w:sz w:val="24"/>
                <w:szCs w:val="24"/>
                <w:shd w:val="clear" w:color="auto" w:fill="FFFFFF"/>
              </w:rPr>
              <w:t>唐  皓</w:t>
            </w:r>
          </w:p>
        </w:tc>
        <w:tc>
          <w:tcPr>
            <w:tcW w:w="1663"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跆拳道</w:t>
            </w: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金牌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2019</w:t>
            </w:r>
          </w:p>
        </w:tc>
        <w:tc>
          <w:tcPr>
            <w:tcW w:w="1610" w:type="dxa"/>
            <w:vMerge w:val="continue"/>
            <w:tcBorders>
              <w:left w:val="nil"/>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restart"/>
            <w:tcBorders>
              <w:top w:val="nil"/>
              <w:left w:val="single" w:color="000000" w:sz="4" w:space="0"/>
              <w:bottom w:val="single" w:color="000000" w:sz="4" w:space="0"/>
              <w:right w:val="single" w:color="000000" w:sz="4" w:space="0"/>
            </w:tcBorders>
            <w:shd w:val="clear" w:color="auto" w:fill="F2DBDB"/>
            <w:vAlign w:val="center"/>
          </w:tcPr>
          <w:p>
            <w:pPr>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世锦赛</w:t>
            </w:r>
          </w:p>
        </w:tc>
        <w:tc>
          <w:tcPr>
            <w:tcW w:w="1091" w:type="dxa"/>
            <w:vMerge w:val="restart"/>
            <w:tcBorders>
              <w:top w:val="single" w:color="000000" w:sz="4" w:space="0"/>
              <w:left w:val="nil"/>
              <w:right w:val="single" w:color="000000" w:sz="4" w:space="0"/>
            </w:tcBorders>
            <w:shd w:val="clear" w:color="auto" w:fill="F2DBDB"/>
            <w:vAlign w:val="center"/>
          </w:tcPr>
          <w:p>
            <w:pPr>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董  栋</w:t>
            </w:r>
          </w:p>
        </w:tc>
        <w:tc>
          <w:tcPr>
            <w:tcW w:w="1663" w:type="dxa"/>
            <w:vMerge w:val="restart"/>
            <w:tcBorders>
              <w:top w:val="single" w:color="000000" w:sz="4" w:space="0"/>
              <w:left w:val="nil"/>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蹦  床</w:t>
            </w: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金牌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2014</w:t>
            </w:r>
          </w:p>
        </w:tc>
        <w:tc>
          <w:tcPr>
            <w:tcW w:w="1610" w:type="dxa"/>
            <w:vMerge w:val="restart"/>
            <w:tcBorders>
              <w:top w:val="single" w:color="000000" w:sz="4" w:space="0"/>
              <w:left w:val="nil"/>
              <w:bottom w:val="single" w:color="000000" w:sz="4" w:space="0"/>
              <w:right w:val="single" w:color="000000" w:sz="4" w:space="0"/>
            </w:tcBorders>
            <w:shd w:val="clear" w:color="auto" w:fill="D6E3BC"/>
            <w:vAlign w:val="center"/>
          </w:tcPr>
          <w:p>
            <w:pPr>
              <w:jc w:val="center"/>
              <w:rPr>
                <w:rFonts w:ascii="仿宋" w:hAnsi="仿宋" w:eastAsia="仿宋" w:cs="仿宋"/>
                <w:b/>
                <w:sz w:val="24"/>
                <w:szCs w:val="24"/>
              </w:rPr>
            </w:pPr>
            <w:r>
              <w:rPr>
                <w:rFonts w:hint="eastAsia" w:ascii="仿宋" w:hAnsi="仿宋" w:eastAsia="仿宋" w:cs="仿宋"/>
                <w:b/>
                <w:sz w:val="24"/>
                <w:szCs w:val="24"/>
              </w:rPr>
              <w:t>世锦赛奖牌：</w:t>
            </w:r>
          </w:p>
          <w:p>
            <w:pPr>
              <w:jc w:val="center"/>
              <w:rPr>
                <w:rFonts w:ascii="仿宋" w:hAnsi="仿宋" w:eastAsia="仿宋" w:cs="仿宋"/>
                <w:b/>
                <w:sz w:val="24"/>
                <w:szCs w:val="24"/>
              </w:rPr>
            </w:pPr>
            <w:r>
              <w:rPr>
                <w:rFonts w:hint="eastAsia" w:ascii="仿宋" w:hAnsi="仿宋" w:eastAsia="仿宋" w:cs="仿宋"/>
                <w:b/>
                <w:sz w:val="24"/>
                <w:szCs w:val="24"/>
              </w:rPr>
              <w:t>金牌</w:t>
            </w:r>
            <w:r>
              <w:rPr>
                <w:rFonts w:hint="eastAsia" w:ascii="仿宋" w:hAnsi="仿宋" w:eastAsia="仿宋" w:cs="仿宋"/>
                <w:b/>
                <w:sz w:val="24"/>
                <w:szCs w:val="24"/>
                <w:lang w:val="en-US" w:eastAsia="zh-CN"/>
              </w:rPr>
              <w:t>5</w:t>
            </w:r>
            <w:r>
              <w:rPr>
                <w:rFonts w:hint="eastAsia" w:ascii="仿宋" w:hAnsi="仿宋" w:eastAsia="仿宋" w:cs="仿宋"/>
                <w:b/>
                <w:sz w:val="24"/>
                <w:szCs w:val="24"/>
              </w:rPr>
              <w:t>枚</w:t>
            </w:r>
          </w:p>
          <w:p>
            <w:pPr>
              <w:jc w:val="center"/>
              <w:rPr>
                <w:rFonts w:ascii="仿宋" w:hAnsi="仿宋" w:eastAsia="仿宋" w:cs="仿宋"/>
                <w:b/>
                <w:sz w:val="24"/>
                <w:szCs w:val="24"/>
              </w:rPr>
            </w:pPr>
            <w:r>
              <w:rPr>
                <w:rFonts w:hint="eastAsia" w:ascii="仿宋" w:hAnsi="仿宋" w:eastAsia="仿宋" w:cs="仿宋"/>
                <w:b/>
                <w:sz w:val="24"/>
                <w:szCs w:val="24"/>
              </w:rPr>
              <w:t>银牌1枚</w:t>
            </w:r>
          </w:p>
          <w:p>
            <w:pPr>
              <w:jc w:val="center"/>
              <w:rPr>
                <w:rFonts w:ascii="仿宋" w:hAnsi="仿宋" w:eastAsia="仿宋" w:cs="仿宋"/>
                <w:b/>
                <w:sz w:val="24"/>
                <w:szCs w:val="24"/>
              </w:rPr>
            </w:pPr>
            <w:r>
              <w:rPr>
                <w:rFonts w:hint="eastAsia" w:ascii="仿宋" w:hAnsi="仿宋" w:eastAsia="仿宋" w:cs="仿宋"/>
                <w:b/>
                <w:sz w:val="24"/>
                <w:szCs w:val="24"/>
              </w:rPr>
              <w:t>铜牌3枚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top w:val="nil"/>
              <w:left w:val="single" w:color="000000" w:sz="4" w:space="0"/>
              <w:bottom w:val="single" w:color="000000" w:sz="4" w:space="0"/>
              <w:right w:val="single" w:color="000000" w:sz="4" w:space="0"/>
            </w:tcBorders>
            <w:shd w:val="clear" w:color="auto" w:fill="F2DBDB"/>
            <w:vAlign w:val="center"/>
          </w:tcPr>
          <w:p>
            <w:pPr>
              <w:jc w:val="center"/>
              <w:rPr>
                <w:rFonts w:cs="Calibri"/>
                <w:szCs w:val="22"/>
              </w:rPr>
            </w:pPr>
          </w:p>
        </w:tc>
        <w:tc>
          <w:tcPr>
            <w:tcW w:w="1091" w:type="dxa"/>
            <w:vMerge w:val="continue"/>
            <w:tcBorders>
              <w:left w:val="nil"/>
              <w:right w:val="single" w:color="000000" w:sz="4" w:space="0"/>
            </w:tcBorders>
            <w:shd w:val="clear" w:color="auto" w:fill="F2DBDB"/>
            <w:vAlign w:val="center"/>
          </w:tcPr>
          <w:p>
            <w:pPr>
              <w:jc w:val="center"/>
              <w:textAlignment w:val="center"/>
              <w:rPr>
                <w:rFonts w:ascii="仿宋" w:hAnsi="仿宋" w:eastAsia="仿宋" w:cs="仿宋"/>
                <w:b/>
                <w:color w:val="000000"/>
                <w:sz w:val="24"/>
                <w:szCs w:val="24"/>
              </w:rPr>
            </w:pPr>
          </w:p>
        </w:tc>
        <w:tc>
          <w:tcPr>
            <w:tcW w:w="1663" w:type="dxa"/>
            <w:vMerge w:val="continue"/>
            <w:tcBorders>
              <w:left w:val="nil"/>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金牌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2015</w:t>
            </w:r>
          </w:p>
        </w:tc>
        <w:tc>
          <w:tcPr>
            <w:tcW w:w="1610" w:type="dxa"/>
            <w:vMerge w:val="continue"/>
            <w:tcBorders>
              <w:top w:val="single" w:color="000000" w:sz="4" w:space="0"/>
              <w:left w:val="nil"/>
              <w:bottom w:val="single" w:color="000000" w:sz="4" w:space="0"/>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top w:val="nil"/>
              <w:left w:val="single" w:color="000000" w:sz="4" w:space="0"/>
              <w:bottom w:val="single" w:color="000000" w:sz="4" w:space="0"/>
              <w:right w:val="single" w:color="000000" w:sz="4" w:space="0"/>
            </w:tcBorders>
            <w:shd w:val="clear" w:color="auto" w:fill="F2DBDB"/>
            <w:vAlign w:val="center"/>
          </w:tcPr>
          <w:p>
            <w:pPr>
              <w:jc w:val="center"/>
              <w:rPr>
                <w:rFonts w:cs="Calibri"/>
                <w:szCs w:val="22"/>
              </w:rPr>
            </w:pPr>
          </w:p>
        </w:tc>
        <w:tc>
          <w:tcPr>
            <w:tcW w:w="1091" w:type="dxa"/>
            <w:vMerge w:val="continue"/>
            <w:tcBorders>
              <w:left w:val="nil"/>
              <w:right w:val="single" w:color="000000" w:sz="4" w:space="0"/>
            </w:tcBorders>
            <w:shd w:val="clear" w:color="auto" w:fill="F2DBDB"/>
            <w:vAlign w:val="center"/>
          </w:tcPr>
          <w:p>
            <w:pPr>
              <w:jc w:val="center"/>
              <w:rPr>
                <w:rFonts w:cs="Calibri"/>
                <w:szCs w:val="22"/>
              </w:rPr>
            </w:pPr>
          </w:p>
        </w:tc>
        <w:tc>
          <w:tcPr>
            <w:tcW w:w="1663" w:type="dxa"/>
            <w:vMerge w:val="continue"/>
            <w:tcBorders>
              <w:left w:val="nil"/>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金牌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2017</w:t>
            </w:r>
          </w:p>
        </w:tc>
        <w:tc>
          <w:tcPr>
            <w:tcW w:w="1610" w:type="dxa"/>
            <w:vMerge w:val="continue"/>
            <w:tcBorders>
              <w:top w:val="single" w:color="000000" w:sz="4" w:space="0"/>
              <w:left w:val="nil"/>
              <w:bottom w:val="single" w:color="000000" w:sz="4" w:space="0"/>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top w:val="nil"/>
              <w:left w:val="single" w:color="000000" w:sz="4" w:space="0"/>
              <w:bottom w:val="single" w:color="000000" w:sz="4" w:space="0"/>
              <w:right w:val="single" w:color="000000" w:sz="4" w:space="0"/>
            </w:tcBorders>
            <w:shd w:val="clear" w:color="auto" w:fill="F2DBDB"/>
            <w:vAlign w:val="center"/>
          </w:tcPr>
          <w:p>
            <w:pPr>
              <w:jc w:val="center"/>
              <w:rPr>
                <w:rFonts w:cs="Calibri"/>
                <w:szCs w:val="22"/>
              </w:rPr>
            </w:pPr>
          </w:p>
        </w:tc>
        <w:tc>
          <w:tcPr>
            <w:tcW w:w="1091" w:type="dxa"/>
            <w:vMerge w:val="continue"/>
            <w:tcBorders>
              <w:left w:val="nil"/>
              <w:right w:val="single" w:color="000000" w:sz="4" w:space="0"/>
            </w:tcBorders>
            <w:shd w:val="clear" w:color="auto" w:fill="F2DBDB"/>
            <w:vAlign w:val="center"/>
          </w:tcPr>
          <w:p>
            <w:pPr>
              <w:jc w:val="center"/>
              <w:rPr>
                <w:rFonts w:cs="Calibri"/>
                <w:szCs w:val="22"/>
              </w:rPr>
            </w:pPr>
          </w:p>
        </w:tc>
        <w:tc>
          <w:tcPr>
            <w:tcW w:w="1663" w:type="dxa"/>
            <w:vMerge w:val="continue"/>
            <w:tcBorders>
              <w:left w:val="nil"/>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金牌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2018</w:t>
            </w:r>
          </w:p>
        </w:tc>
        <w:tc>
          <w:tcPr>
            <w:tcW w:w="1610" w:type="dxa"/>
            <w:vMerge w:val="continue"/>
            <w:tcBorders>
              <w:top w:val="single" w:color="000000" w:sz="4" w:space="0"/>
              <w:left w:val="nil"/>
              <w:bottom w:val="single" w:color="000000" w:sz="4" w:space="0"/>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top w:val="nil"/>
              <w:left w:val="single" w:color="000000" w:sz="4" w:space="0"/>
              <w:bottom w:val="single" w:color="000000" w:sz="4" w:space="0"/>
              <w:right w:val="single" w:color="000000" w:sz="4" w:space="0"/>
            </w:tcBorders>
            <w:shd w:val="clear" w:color="auto" w:fill="F2DBDB"/>
            <w:vAlign w:val="center"/>
          </w:tcPr>
          <w:p>
            <w:pPr>
              <w:jc w:val="center"/>
              <w:rPr>
                <w:rFonts w:cs="Calibri"/>
                <w:szCs w:val="22"/>
              </w:rPr>
            </w:pPr>
          </w:p>
        </w:tc>
        <w:tc>
          <w:tcPr>
            <w:tcW w:w="1091" w:type="dxa"/>
            <w:vMerge w:val="continue"/>
            <w:tcBorders>
              <w:left w:val="nil"/>
              <w:bottom w:val="single" w:color="000000" w:sz="4" w:space="0"/>
              <w:right w:val="single" w:color="000000" w:sz="4" w:space="0"/>
            </w:tcBorders>
            <w:shd w:val="clear" w:color="auto" w:fill="F2DBDB"/>
            <w:vAlign w:val="center"/>
          </w:tcPr>
          <w:p>
            <w:pPr>
              <w:jc w:val="center"/>
              <w:rPr>
                <w:rFonts w:cs="Calibri"/>
                <w:szCs w:val="22"/>
              </w:rPr>
            </w:pPr>
          </w:p>
        </w:tc>
        <w:tc>
          <w:tcPr>
            <w:tcW w:w="1663" w:type="dxa"/>
            <w:vMerge w:val="continue"/>
            <w:tcBorders>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银牌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2019</w:t>
            </w:r>
          </w:p>
        </w:tc>
        <w:tc>
          <w:tcPr>
            <w:tcW w:w="1610" w:type="dxa"/>
            <w:vMerge w:val="continue"/>
            <w:tcBorders>
              <w:top w:val="single" w:color="000000" w:sz="4" w:space="0"/>
              <w:left w:val="nil"/>
              <w:bottom w:val="single" w:color="000000" w:sz="4" w:space="0"/>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top w:val="nil"/>
              <w:left w:val="single" w:color="000000" w:sz="4" w:space="0"/>
              <w:bottom w:val="single" w:color="000000" w:sz="4" w:space="0"/>
              <w:right w:val="single" w:color="000000" w:sz="4" w:space="0"/>
            </w:tcBorders>
            <w:shd w:val="clear" w:color="auto" w:fill="F2DBDB"/>
            <w:vAlign w:val="center"/>
          </w:tcPr>
          <w:p>
            <w:pPr>
              <w:jc w:val="center"/>
              <w:rPr>
                <w:rFonts w:cs="Calibri"/>
                <w:szCs w:val="22"/>
              </w:rPr>
            </w:pPr>
          </w:p>
        </w:tc>
        <w:tc>
          <w:tcPr>
            <w:tcW w:w="1091" w:type="dxa"/>
            <w:vMerge w:val="restart"/>
            <w:tcBorders>
              <w:top w:val="nil"/>
              <w:left w:val="nil"/>
              <w:bottom w:val="single" w:color="000000" w:sz="4" w:space="0"/>
              <w:right w:val="single" w:color="000000" w:sz="4" w:space="0"/>
            </w:tcBorders>
            <w:shd w:val="clear" w:color="auto" w:fill="F2DBDB"/>
            <w:vAlign w:val="center"/>
          </w:tcPr>
          <w:p>
            <w:pPr>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裴星茹</w:t>
            </w:r>
          </w:p>
        </w:tc>
        <w:tc>
          <w:tcPr>
            <w:tcW w:w="1663" w:type="dxa"/>
            <w:vMerge w:val="restart"/>
            <w:tcBorders>
              <w:top w:val="single" w:color="000000" w:sz="4" w:space="0"/>
              <w:left w:val="nil"/>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摔  跤</w:t>
            </w: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金牌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2016</w:t>
            </w:r>
          </w:p>
        </w:tc>
        <w:tc>
          <w:tcPr>
            <w:tcW w:w="1610" w:type="dxa"/>
            <w:vMerge w:val="continue"/>
            <w:tcBorders>
              <w:top w:val="single" w:color="000000" w:sz="4" w:space="0"/>
              <w:left w:val="nil"/>
              <w:bottom w:val="single" w:color="000000" w:sz="4" w:space="0"/>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top w:val="nil"/>
              <w:left w:val="single" w:color="000000" w:sz="4" w:space="0"/>
              <w:bottom w:val="single" w:color="000000" w:sz="4" w:space="0"/>
              <w:right w:val="single" w:color="000000" w:sz="4" w:space="0"/>
            </w:tcBorders>
            <w:shd w:val="clear" w:color="auto" w:fill="F2DBDB"/>
            <w:vAlign w:val="center"/>
          </w:tcPr>
          <w:p>
            <w:pPr>
              <w:jc w:val="center"/>
              <w:rPr>
                <w:rFonts w:cs="Calibri"/>
                <w:szCs w:val="22"/>
              </w:rPr>
            </w:pPr>
          </w:p>
        </w:tc>
        <w:tc>
          <w:tcPr>
            <w:tcW w:w="1091" w:type="dxa"/>
            <w:vMerge w:val="continue"/>
            <w:tcBorders>
              <w:top w:val="nil"/>
              <w:left w:val="nil"/>
              <w:bottom w:val="single" w:color="000000" w:sz="4" w:space="0"/>
              <w:right w:val="single" w:color="000000" w:sz="4" w:space="0"/>
            </w:tcBorders>
            <w:shd w:val="clear" w:color="auto" w:fill="F2DBDB"/>
            <w:vAlign w:val="center"/>
          </w:tcPr>
          <w:p>
            <w:pPr>
              <w:jc w:val="center"/>
              <w:rPr>
                <w:rFonts w:cs="Calibri"/>
                <w:szCs w:val="22"/>
              </w:rPr>
            </w:pPr>
          </w:p>
        </w:tc>
        <w:tc>
          <w:tcPr>
            <w:tcW w:w="1663" w:type="dxa"/>
            <w:vMerge w:val="continue"/>
            <w:tcBorders>
              <w:left w:val="nil"/>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铜牌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2018</w:t>
            </w:r>
          </w:p>
        </w:tc>
        <w:tc>
          <w:tcPr>
            <w:tcW w:w="1610" w:type="dxa"/>
            <w:vMerge w:val="continue"/>
            <w:tcBorders>
              <w:top w:val="single" w:color="000000" w:sz="4" w:space="0"/>
              <w:left w:val="nil"/>
              <w:bottom w:val="single" w:color="000000" w:sz="4" w:space="0"/>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top w:val="nil"/>
              <w:left w:val="single" w:color="000000" w:sz="4" w:space="0"/>
              <w:bottom w:val="single" w:color="000000" w:sz="4" w:space="0"/>
              <w:right w:val="single" w:color="000000" w:sz="4" w:space="0"/>
            </w:tcBorders>
            <w:shd w:val="clear" w:color="auto" w:fill="F2DBDB"/>
            <w:vAlign w:val="center"/>
          </w:tcPr>
          <w:p>
            <w:pPr>
              <w:jc w:val="center"/>
              <w:rPr>
                <w:rFonts w:cs="Calibri"/>
                <w:szCs w:val="22"/>
              </w:rPr>
            </w:pPr>
          </w:p>
        </w:tc>
        <w:tc>
          <w:tcPr>
            <w:tcW w:w="1091" w:type="dxa"/>
            <w:vMerge w:val="continue"/>
            <w:tcBorders>
              <w:top w:val="nil"/>
              <w:left w:val="nil"/>
              <w:bottom w:val="single" w:color="000000" w:sz="4" w:space="0"/>
              <w:right w:val="single" w:color="000000" w:sz="4" w:space="0"/>
            </w:tcBorders>
            <w:shd w:val="clear" w:color="auto" w:fill="F2DBDB"/>
            <w:vAlign w:val="center"/>
          </w:tcPr>
          <w:p>
            <w:pPr>
              <w:jc w:val="center"/>
              <w:rPr>
                <w:rFonts w:cs="Calibri"/>
                <w:szCs w:val="22"/>
              </w:rPr>
            </w:pPr>
          </w:p>
        </w:tc>
        <w:tc>
          <w:tcPr>
            <w:tcW w:w="1663" w:type="dxa"/>
            <w:vMerge w:val="continue"/>
            <w:tcBorders>
              <w:left w:val="nil"/>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铜牌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2019</w:t>
            </w:r>
          </w:p>
        </w:tc>
        <w:tc>
          <w:tcPr>
            <w:tcW w:w="1610" w:type="dxa"/>
            <w:vMerge w:val="continue"/>
            <w:tcBorders>
              <w:top w:val="single" w:color="000000" w:sz="4" w:space="0"/>
              <w:left w:val="nil"/>
              <w:bottom w:val="single" w:color="000000" w:sz="4" w:space="0"/>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vMerge w:val="continue"/>
            <w:tcBorders>
              <w:top w:val="nil"/>
              <w:left w:val="single" w:color="000000" w:sz="4" w:space="0"/>
              <w:bottom w:val="single" w:color="000000" w:sz="4" w:space="0"/>
              <w:right w:val="single" w:color="000000" w:sz="4" w:space="0"/>
            </w:tcBorders>
            <w:shd w:val="clear" w:color="auto" w:fill="F2DBDB"/>
            <w:vAlign w:val="center"/>
          </w:tcPr>
          <w:p>
            <w:pPr>
              <w:jc w:val="center"/>
              <w:rPr>
                <w:rFonts w:cs="Calibri"/>
                <w:szCs w:val="22"/>
              </w:rPr>
            </w:pPr>
          </w:p>
        </w:tc>
        <w:tc>
          <w:tcPr>
            <w:tcW w:w="1091" w:type="dxa"/>
            <w:vMerge w:val="continue"/>
            <w:tcBorders>
              <w:top w:val="nil"/>
              <w:left w:val="nil"/>
              <w:bottom w:val="single" w:color="000000" w:sz="4" w:space="0"/>
              <w:right w:val="single" w:color="000000" w:sz="4" w:space="0"/>
            </w:tcBorders>
            <w:shd w:val="clear" w:color="auto" w:fill="F2DBDB"/>
            <w:vAlign w:val="center"/>
          </w:tcPr>
          <w:p>
            <w:pPr>
              <w:jc w:val="center"/>
              <w:rPr>
                <w:rFonts w:cs="Calibri"/>
                <w:szCs w:val="22"/>
              </w:rPr>
            </w:pPr>
          </w:p>
        </w:tc>
        <w:tc>
          <w:tcPr>
            <w:tcW w:w="1663" w:type="dxa"/>
            <w:vMerge w:val="continue"/>
            <w:tcBorders>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p>
        </w:tc>
        <w:tc>
          <w:tcPr>
            <w:tcW w:w="1417"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铜牌</w:t>
            </w:r>
          </w:p>
        </w:tc>
        <w:tc>
          <w:tcPr>
            <w:tcW w:w="992" w:type="dxa"/>
            <w:tcBorders>
              <w:top w:val="single" w:color="000000" w:sz="4" w:space="0"/>
              <w:left w:val="nil"/>
              <w:bottom w:val="single" w:color="000000" w:sz="4" w:space="0"/>
              <w:right w:val="single" w:color="000000" w:sz="4" w:space="0"/>
            </w:tcBorders>
            <w:shd w:val="clear" w:color="auto" w:fill="F2DBDB"/>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2019</w:t>
            </w:r>
          </w:p>
        </w:tc>
        <w:tc>
          <w:tcPr>
            <w:tcW w:w="1610" w:type="dxa"/>
            <w:vMerge w:val="continue"/>
            <w:tcBorders>
              <w:top w:val="single" w:color="000000" w:sz="4" w:space="0"/>
              <w:left w:val="nil"/>
              <w:bottom w:val="single" w:color="000000" w:sz="4" w:space="0"/>
              <w:right w:val="single" w:color="000000" w:sz="4" w:space="0"/>
            </w:tcBorders>
            <w:shd w:val="clear" w:color="auto" w:fill="D6E3BC"/>
            <w:vAlign w:val="center"/>
          </w:tcPr>
          <w:p>
            <w:pPr>
              <w:jc w:val="center"/>
              <w:rPr>
                <w:rFonts w:cs="Calibri"/>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tcBorders>
              <w:top w:val="single" w:color="000000" w:sz="4" w:space="0"/>
              <w:left w:val="single" w:color="000000" w:sz="4" w:space="0"/>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青奥会</w:t>
            </w:r>
          </w:p>
        </w:tc>
        <w:tc>
          <w:tcPr>
            <w:tcW w:w="1091"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董  钰</w:t>
            </w:r>
          </w:p>
        </w:tc>
        <w:tc>
          <w:tcPr>
            <w:tcW w:w="1663"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蹦  床</w:t>
            </w:r>
          </w:p>
        </w:tc>
        <w:tc>
          <w:tcPr>
            <w:tcW w:w="1417"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金牌</w:t>
            </w:r>
          </w:p>
        </w:tc>
        <w:tc>
          <w:tcPr>
            <w:tcW w:w="992"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2010</w:t>
            </w:r>
          </w:p>
        </w:tc>
        <w:tc>
          <w:tcPr>
            <w:tcW w:w="1610"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1749" w:type="dxa"/>
            <w:tcBorders>
              <w:top w:val="single" w:color="000000" w:sz="4" w:space="0"/>
              <w:left w:val="single" w:color="000000" w:sz="4" w:space="0"/>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世青赛</w:t>
            </w:r>
          </w:p>
        </w:tc>
        <w:tc>
          <w:tcPr>
            <w:tcW w:w="1091"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张益梵</w:t>
            </w:r>
          </w:p>
        </w:tc>
        <w:tc>
          <w:tcPr>
            <w:tcW w:w="1663"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射  击</w:t>
            </w:r>
          </w:p>
        </w:tc>
        <w:tc>
          <w:tcPr>
            <w:tcW w:w="1417"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金牌</w:t>
            </w:r>
          </w:p>
        </w:tc>
        <w:tc>
          <w:tcPr>
            <w:tcW w:w="992"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2017</w:t>
            </w:r>
          </w:p>
        </w:tc>
        <w:tc>
          <w:tcPr>
            <w:tcW w:w="1610"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tcBorders>
              <w:top w:val="single" w:color="000000" w:sz="4" w:space="0"/>
              <w:left w:val="single" w:color="000000" w:sz="4" w:space="0"/>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亚锦赛</w:t>
            </w:r>
          </w:p>
        </w:tc>
        <w:tc>
          <w:tcPr>
            <w:tcW w:w="1091"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裴星茹</w:t>
            </w:r>
          </w:p>
        </w:tc>
        <w:tc>
          <w:tcPr>
            <w:tcW w:w="1663"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摔  跤</w:t>
            </w:r>
          </w:p>
        </w:tc>
        <w:tc>
          <w:tcPr>
            <w:tcW w:w="1417"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金牌</w:t>
            </w:r>
          </w:p>
        </w:tc>
        <w:tc>
          <w:tcPr>
            <w:tcW w:w="992"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2018</w:t>
            </w:r>
          </w:p>
        </w:tc>
        <w:tc>
          <w:tcPr>
            <w:tcW w:w="1610"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tcBorders>
              <w:top w:val="single" w:color="000000" w:sz="4" w:space="0"/>
              <w:left w:val="single" w:color="000000" w:sz="4" w:space="0"/>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国际乒乓球匈牙利、克罗地亚巡回赛</w:t>
            </w:r>
          </w:p>
        </w:tc>
        <w:tc>
          <w:tcPr>
            <w:tcW w:w="1091"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bCs/>
                <w:color w:val="000000"/>
                <w:sz w:val="24"/>
                <w:szCs w:val="24"/>
                <w:shd w:val="clear" w:color="auto" w:fill="FFFFFF"/>
              </w:rPr>
              <w:t>张明昊</w:t>
            </w:r>
          </w:p>
        </w:tc>
        <w:tc>
          <w:tcPr>
            <w:tcW w:w="1663"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乒乓球</w:t>
            </w:r>
          </w:p>
        </w:tc>
        <w:tc>
          <w:tcPr>
            <w:tcW w:w="1417"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金牌</w:t>
            </w:r>
          </w:p>
        </w:tc>
        <w:tc>
          <w:tcPr>
            <w:tcW w:w="992"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2019</w:t>
            </w:r>
          </w:p>
        </w:tc>
        <w:tc>
          <w:tcPr>
            <w:tcW w:w="1610"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两站团体、双打、单打获得4金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9" w:type="dxa"/>
            <w:tcBorders>
              <w:top w:val="single" w:color="000000" w:sz="4" w:space="0"/>
              <w:left w:val="single" w:color="000000" w:sz="4" w:space="0"/>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国际摔跤</w:t>
            </w:r>
          </w:p>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A级赛</w:t>
            </w:r>
          </w:p>
        </w:tc>
        <w:tc>
          <w:tcPr>
            <w:tcW w:w="1091"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裴星茹</w:t>
            </w:r>
          </w:p>
        </w:tc>
        <w:tc>
          <w:tcPr>
            <w:tcW w:w="1663"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摔  跤</w:t>
            </w:r>
          </w:p>
        </w:tc>
        <w:tc>
          <w:tcPr>
            <w:tcW w:w="1417"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银牌</w:t>
            </w:r>
          </w:p>
        </w:tc>
        <w:tc>
          <w:tcPr>
            <w:tcW w:w="992"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r>
              <w:rPr>
                <w:rFonts w:hint="eastAsia" w:ascii="仿宋" w:hAnsi="仿宋" w:eastAsia="仿宋" w:cs="仿宋"/>
                <w:b/>
                <w:color w:val="000000"/>
                <w:sz w:val="24"/>
                <w:szCs w:val="24"/>
              </w:rPr>
              <w:t>2019</w:t>
            </w:r>
          </w:p>
        </w:tc>
        <w:tc>
          <w:tcPr>
            <w:tcW w:w="1610" w:type="dxa"/>
            <w:tcBorders>
              <w:top w:val="single" w:color="000000" w:sz="4" w:space="0"/>
              <w:left w:val="nil"/>
              <w:bottom w:val="single" w:color="000000" w:sz="4" w:space="0"/>
              <w:right w:val="single" w:color="000000" w:sz="4" w:space="0"/>
            </w:tcBorders>
            <w:shd w:val="clear" w:color="auto" w:fill="D6E3BC"/>
            <w:vAlign w:val="center"/>
          </w:tcPr>
          <w:p>
            <w:pPr>
              <w:widowControl/>
              <w:jc w:val="center"/>
              <w:textAlignment w:val="center"/>
              <w:rPr>
                <w:rFonts w:ascii="仿宋" w:hAnsi="仿宋" w:eastAsia="仿宋" w:cs="仿宋"/>
                <w:b/>
                <w:color w:val="000000"/>
                <w:sz w:val="24"/>
                <w:szCs w:val="24"/>
              </w:rPr>
            </w:pPr>
          </w:p>
        </w:tc>
      </w:tr>
    </w:tbl>
    <w:p>
      <w:pPr>
        <w:outlineLvl w:val="9"/>
      </w:pP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zh-CN" w:bidi="ar-SA"/>
        </w:rPr>
      </w:pPr>
      <w:bookmarkStart w:id="27" w:name="_Toc1940"/>
      <w:bookmarkStart w:id="28" w:name="_Toc19605"/>
      <w:r>
        <w:rPr>
          <w:rFonts w:hint="eastAsia" w:ascii="仿宋_GB2312" w:hAnsi="Times New Roman" w:eastAsia="仿宋_GB2312" w:cs="Times New Roman"/>
          <w:b/>
          <w:bCs/>
          <w:kern w:val="2"/>
          <w:sz w:val="28"/>
          <w:szCs w:val="28"/>
          <w:lang w:val="en-US" w:eastAsia="zh-CN" w:bidi="ar-SA"/>
        </w:rPr>
        <w:t>2.学生发展</w:t>
      </w:r>
      <w:bookmarkEnd w:id="27"/>
      <w:bookmarkEnd w:id="28"/>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1"/>
        <w:rPr>
          <w:rFonts w:hint="eastAsia" w:ascii="仿宋_GB2312" w:hAnsi="Times New Roman" w:eastAsia="仿宋_GB2312" w:cs="Times New Roman"/>
          <w:b/>
          <w:bCs/>
          <w:kern w:val="2"/>
          <w:sz w:val="28"/>
          <w:szCs w:val="28"/>
          <w:lang w:val="en-US" w:eastAsia="zh-CN" w:bidi="ar-SA"/>
        </w:rPr>
      </w:pPr>
      <w:bookmarkStart w:id="29" w:name="_Toc31796"/>
      <w:bookmarkStart w:id="30" w:name="_Toc12334"/>
      <w:r>
        <w:rPr>
          <w:rFonts w:hint="eastAsia" w:ascii="仿宋_GB2312" w:hAnsi="Times New Roman" w:eastAsia="仿宋_GB2312" w:cs="Times New Roman"/>
          <w:b/>
          <w:bCs/>
          <w:kern w:val="2"/>
          <w:sz w:val="28"/>
          <w:szCs w:val="28"/>
          <w:lang w:val="en-US" w:eastAsia="zh-CN" w:bidi="ar-SA"/>
        </w:rPr>
        <w:t>2.1招生情况</w:t>
      </w:r>
      <w:bookmarkEnd w:id="29"/>
      <w:bookmarkEnd w:id="30"/>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Times New Roman" w:eastAsia="仿宋_GB2312"/>
          <w:sz w:val="28"/>
          <w:szCs w:val="28"/>
          <w:lang w:val="en-US" w:eastAsia="zh-CN"/>
        </w:rPr>
      </w:pPr>
      <w:r>
        <w:rPr>
          <w:rFonts w:hint="eastAsia" w:ascii="仿宋_GB2312" w:hAnsi="Times New Roman" w:eastAsia="仿宋_GB2312"/>
          <w:sz w:val="28"/>
          <w:szCs w:val="28"/>
          <w:lang w:eastAsia="zh-CN"/>
        </w:rPr>
        <w:t>截至2021年12月，我校全日制在校生数725人，其中男生541人，女生184人；三年制学生427人，占在校生总数58.9%，五年制学生298人，占在校生总数41.1%，近两年在校生规模基本稳定，招生情况良好，2020年中专招生人数为216人，2021年招生人数</w:t>
      </w:r>
      <w:r>
        <w:rPr>
          <w:rFonts w:hint="eastAsia" w:ascii="仿宋_GB2312" w:hAnsi="Times New Roman" w:eastAsia="仿宋_GB2312"/>
          <w:sz w:val="28"/>
          <w:szCs w:val="28"/>
          <w:lang w:val="en-US" w:eastAsia="zh-CN"/>
        </w:rPr>
        <w:t>为</w:t>
      </w:r>
      <w:r>
        <w:rPr>
          <w:rFonts w:hint="eastAsia" w:ascii="仿宋_GB2312" w:hAnsi="Times New Roman" w:eastAsia="仿宋_GB2312"/>
          <w:sz w:val="28"/>
          <w:szCs w:val="28"/>
          <w:lang w:eastAsia="zh-CN"/>
        </w:rPr>
        <w:t>233人。</w:t>
      </w:r>
    </w:p>
    <w:p>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rFonts w:hint="eastAsia" w:ascii="仿宋_GB2312" w:hAnsi="Times New Roman" w:eastAsia="仿宋_GB2312" w:cs="Times New Roman"/>
          <w:b/>
          <w:bCs/>
          <w:kern w:val="2"/>
          <w:sz w:val="28"/>
          <w:szCs w:val="28"/>
          <w:lang w:val="en-US" w:eastAsia="zh-CN" w:bidi="ar-SA"/>
        </w:rPr>
      </w:pPr>
      <w:r>
        <w:rPr>
          <w:rFonts w:hint="eastAsia" w:ascii="仿宋_GB2312" w:hAnsi="Times New Roman" w:eastAsia="仿宋_GB2312" w:cs="Times New Roman"/>
          <w:b/>
          <w:bCs/>
          <w:kern w:val="2"/>
          <w:sz w:val="28"/>
          <w:szCs w:val="28"/>
          <w:lang w:val="en-US" w:eastAsia="zh-CN" w:bidi="ar-SA"/>
        </w:rPr>
        <w:t>2020年及2021年中专在校学生情况统计表</w:t>
      </w:r>
    </w:p>
    <w:tbl>
      <w:tblPr>
        <w:tblStyle w:val="14"/>
        <w:tblW w:w="8472"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992"/>
        <w:gridCol w:w="992"/>
        <w:gridCol w:w="992"/>
        <w:gridCol w:w="993"/>
        <w:gridCol w:w="708"/>
        <w:gridCol w:w="993"/>
        <w:gridCol w:w="708"/>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101" w:type="dxa"/>
            <w:vMerge w:val="restart"/>
            <w:tcBorders>
              <w:top w:val="single" w:color="auto" w:sz="4" w:space="0"/>
              <w:left w:val="single" w:color="auto" w:sz="4" w:space="0"/>
              <w:bottom w:val="single" w:color="auto" w:sz="4" w:space="0"/>
              <w:right w:val="single" w:color="auto" w:sz="4" w:space="0"/>
            </w:tcBorders>
            <w:shd w:val="clear" w:color="auto" w:fill="99CCFF"/>
            <w:vAlign w:val="center"/>
          </w:tcPr>
          <w:p>
            <w:pPr>
              <w:overflowPunct w:val="0"/>
              <w:autoSpaceDE w:val="0"/>
              <w:adjustRightInd w:val="0"/>
              <w:jc w:val="center"/>
              <w:textAlignment w:val="baseline"/>
              <w:rPr>
                <w:rFonts w:ascii="仿宋_GB2312" w:hAnsi="华文仿宋" w:cs="宋体"/>
                <w:b/>
                <w:bCs/>
                <w:sz w:val="24"/>
                <w:szCs w:val="24"/>
              </w:rPr>
            </w:pPr>
            <w:r>
              <w:rPr>
                <w:rFonts w:ascii="仿宋_GB2312" w:hAnsi="华文仿宋"/>
                <w:b/>
                <w:bCs/>
              </w:rPr>
              <w:t>年度</w:t>
            </w:r>
          </w:p>
        </w:tc>
        <w:tc>
          <w:tcPr>
            <w:tcW w:w="992" w:type="dxa"/>
            <w:vMerge w:val="restart"/>
            <w:tcBorders>
              <w:top w:val="single" w:color="auto" w:sz="4" w:space="0"/>
              <w:left w:val="nil"/>
              <w:bottom w:val="single" w:color="auto" w:sz="4" w:space="0"/>
              <w:right w:val="single" w:color="auto" w:sz="4" w:space="0"/>
            </w:tcBorders>
            <w:shd w:val="clear" w:color="auto" w:fill="99CCFF"/>
            <w:vAlign w:val="center"/>
          </w:tcPr>
          <w:p>
            <w:pPr>
              <w:overflowPunct w:val="0"/>
              <w:autoSpaceDE w:val="0"/>
              <w:adjustRightInd w:val="0"/>
              <w:jc w:val="center"/>
              <w:textAlignment w:val="baseline"/>
              <w:rPr>
                <w:rFonts w:ascii="仿宋_GB2312" w:hAnsi="华文仿宋" w:cs="宋体"/>
                <w:b/>
                <w:bCs/>
                <w:sz w:val="24"/>
                <w:szCs w:val="24"/>
              </w:rPr>
            </w:pPr>
            <w:r>
              <w:rPr>
                <w:rFonts w:ascii="仿宋_GB2312" w:hAnsi="华文仿宋"/>
                <w:b/>
                <w:bCs/>
              </w:rPr>
              <w:t>年级</w:t>
            </w:r>
          </w:p>
        </w:tc>
        <w:tc>
          <w:tcPr>
            <w:tcW w:w="4678" w:type="dxa"/>
            <w:gridSpan w:val="5"/>
            <w:tcBorders>
              <w:top w:val="single" w:color="auto" w:sz="4" w:space="0"/>
              <w:left w:val="nil"/>
              <w:bottom w:val="single" w:color="auto" w:sz="4" w:space="0"/>
              <w:right w:val="single" w:color="auto" w:sz="4" w:space="0"/>
            </w:tcBorders>
            <w:shd w:val="clear" w:color="auto" w:fill="99CCFF"/>
            <w:vAlign w:val="center"/>
          </w:tcPr>
          <w:p>
            <w:pPr>
              <w:overflowPunct w:val="0"/>
              <w:autoSpaceDE w:val="0"/>
              <w:adjustRightInd w:val="0"/>
              <w:jc w:val="center"/>
              <w:textAlignment w:val="baseline"/>
              <w:rPr>
                <w:rFonts w:ascii="仿宋_GB2312" w:hAnsi="华文仿宋" w:cs="宋体"/>
                <w:b/>
                <w:bCs/>
                <w:sz w:val="24"/>
                <w:szCs w:val="24"/>
              </w:rPr>
            </w:pPr>
            <w:r>
              <w:rPr>
                <w:rFonts w:ascii="仿宋_GB2312" w:hAnsi="华文仿宋"/>
                <w:b/>
                <w:bCs/>
              </w:rPr>
              <w:t>在校生人数</w:t>
            </w:r>
          </w:p>
        </w:tc>
        <w:tc>
          <w:tcPr>
            <w:tcW w:w="1701" w:type="dxa"/>
            <w:gridSpan w:val="2"/>
            <w:tcBorders>
              <w:top w:val="single" w:color="auto" w:sz="4" w:space="0"/>
              <w:left w:val="nil"/>
              <w:bottom w:val="single" w:color="auto" w:sz="4" w:space="0"/>
              <w:right w:val="single" w:color="auto" w:sz="4" w:space="0"/>
            </w:tcBorders>
            <w:shd w:val="clear" w:color="auto" w:fill="99CCFF"/>
            <w:vAlign w:val="center"/>
          </w:tcPr>
          <w:p>
            <w:pPr>
              <w:overflowPunct w:val="0"/>
              <w:autoSpaceDE w:val="0"/>
              <w:adjustRightInd w:val="0"/>
              <w:jc w:val="center"/>
              <w:textAlignment w:val="baseline"/>
              <w:rPr>
                <w:rFonts w:ascii="仿宋_GB2312" w:hAnsi="华文仿宋" w:cs="宋体"/>
                <w:b/>
                <w:bCs/>
                <w:sz w:val="24"/>
                <w:szCs w:val="24"/>
              </w:rPr>
            </w:pPr>
            <w:r>
              <w:rPr>
                <w:rFonts w:ascii="仿宋_GB2312" w:hAnsi="华文仿宋"/>
                <w:b/>
                <w:bCs/>
              </w:rPr>
              <w:t>毕业生人数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1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仿宋_GB2312" w:hAnsi="华文仿宋" w:cs="宋体"/>
                <w:b/>
                <w:bCs/>
                <w:sz w:val="24"/>
                <w:szCs w:val="24"/>
              </w:rPr>
            </w:pPr>
          </w:p>
        </w:tc>
        <w:tc>
          <w:tcPr>
            <w:tcW w:w="992" w:type="dxa"/>
            <w:vMerge w:val="continue"/>
            <w:tcBorders>
              <w:top w:val="single" w:color="auto" w:sz="4" w:space="0"/>
              <w:left w:val="nil"/>
              <w:bottom w:val="single" w:color="auto" w:sz="4" w:space="0"/>
              <w:right w:val="single" w:color="auto" w:sz="4" w:space="0"/>
            </w:tcBorders>
            <w:shd w:val="clear" w:color="auto" w:fill="auto"/>
            <w:vAlign w:val="center"/>
          </w:tcPr>
          <w:p>
            <w:pPr>
              <w:rPr>
                <w:rFonts w:ascii="仿宋_GB2312" w:hAnsi="华文仿宋" w:cs="宋体"/>
                <w:b/>
                <w:bCs/>
                <w:sz w:val="24"/>
                <w:szCs w:val="24"/>
              </w:rPr>
            </w:pPr>
          </w:p>
        </w:tc>
        <w:tc>
          <w:tcPr>
            <w:tcW w:w="992" w:type="dxa"/>
            <w:tcBorders>
              <w:top w:val="single" w:color="auto" w:sz="4" w:space="0"/>
              <w:left w:val="nil"/>
              <w:bottom w:val="single" w:color="auto" w:sz="4" w:space="0"/>
              <w:right w:val="single" w:color="auto" w:sz="4" w:space="0"/>
            </w:tcBorders>
            <w:shd w:val="clear" w:color="auto" w:fill="99CCFF"/>
            <w:vAlign w:val="center"/>
          </w:tcPr>
          <w:p>
            <w:pPr>
              <w:overflowPunct w:val="0"/>
              <w:autoSpaceDE w:val="0"/>
              <w:autoSpaceDN w:val="0"/>
              <w:adjustRightInd w:val="0"/>
              <w:jc w:val="center"/>
              <w:textAlignment w:val="baseline"/>
              <w:rPr>
                <w:rFonts w:ascii="仿宋_GB2312" w:hAnsi="华文仿宋" w:cs="宋体"/>
                <w:b/>
                <w:bCs/>
                <w:sz w:val="24"/>
                <w:szCs w:val="24"/>
              </w:rPr>
            </w:pPr>
            <w:r>
              <w:rPr>
                <w:rFonts w:ascii="仿宋_GB2312" w:hAnsi="华文仿宋"/>
                <w:b/>
                <w:bCs/>
              </w:rPr>
              <w:t>三年制</w:t>
            </w:r>
          </w:p>
        </w:tc>
        <w:tc>
          <w:tcPr>
            <w:tcW w:w="992" w:type="dxa"/>
            <w:tcBorders>
              <w:top w:val="single" w:color="auto" w:sz="4" w:space="0"/>
              <w:left w:val="nil"/>
              <w:bottom w:val="single" w:color="auto" w:sz="4" w:space="0"/>
              <w:right w:val="single" w:color="auto" w:sz="4" w:space="0"/>
            </w:tcBorders>
            <w:shd w:val="clear" w:color="auto" w:fill="99CCFF"/>
            <w:vAlign w:val="center"/>
          </w:tcPr>
          <w:p>
            <w:pPr>
              <w:overflowPunct w:val="0"/>
              <w:autoSpaceDE w:val="0"/>
              <w:autoSpaceDN w:val="0"/>
              <w:adjustRightInd w:val="0"/>
              <w:jc w:val="center"/>
              <w:textAlignment w:val="baseline"/>
              <w:rPr>
                <w:rFonts w:ascii="仿宋_GB2312" w:hAnsi="华文仿宋" w:cs="宋体"/>
                <w:b/>
                <w:bCs/>
                <w:sz w:val="24"/>
                <w:szCs w:val="24"/>
              </w:rPr>
            </w:pPr>
            <w:r>
              <w:rPr>
                <w:rFonts w:ascii="仿宋_GB2312" w:hAnsi="华文仿宋"/>
                <w:b/>
                <w:bCs/>
              </w:rPr>
              <w:t>五年制</w:t>
            </w:r>
          </w:p>
        </w:tc>
        <w:tc>
          <w:tcPr>
            <w:tcW w:w="993" w:type="dxa"/>
            <w:tcBorders>
              <w:top w:val="single" w:color="auto" w:sz="4" w:space="0"/>
              <w:left w:val="nil"/>
              <w:bottom w:val="single" w:color="auto" w:sz="4" w:space="0"/>
              <w:right w:val="single" w:color="auto" w:sz="4" w:space="0"/>
            </w:tcBorders>
            <w:shd w:val="clear" w:color="auto" w:fill="99CCFF"/>
            <w:vAlign w:val="center"/>
          </w:tcPr>
          <w:p>
            <w:pPr>
              <w:overflowPunct w:val="0"/>
              <w:autoSpaceDE w:val="0"/>
              <w:adjustRightInd w:val="0"/>
              <w:jc w:val="center"/>
              <w:textAlignment w:val="baseline"/>
              <w:rPr>
                <w:rFonts w:ascii="仿宋_GB2312" w:hAnsi="华文仿宋" w:cs="宋体"/>
                <w:b/>
                <w:bCs/>
                <w:sz w:val="24"/>
                <w:szCs w:val="24"/>
              </w:rPr>
            </w:pPr>
            <w:r>
              <w:rPr>
                <w:rFonts w:ascii="仿宋_GB2312" w:hAnsi="华文仿宋"/>
                <w:b/>
                <w:bCs/>
              </w:rPr>
              <w:t>小计</w:t>
            </w:r>
          </w:p>
        </w:tc>
        <w:tc>
          <w:tcPr>
            <w:tcW w:w="708" w:type="dxa"/>
            <w:tcBorders>
              <w:top w:val="single" w:color="auto" w:sz="4" w:space="0"/>
              <w:left w:val="nil"/>
              <w:bottom w:val="single" w:color="auto" w:sz="4" w:space="0"/>
              <w:right w:val="single" w:color="auto" w:sz="4" w:space="0"/>
            </w:tcBorders>
            <w:shd w:val="clear" w:color="auto" w:fill="99CCFF"/>
            <w:vAlign w:val="center"/>
          </w:tcPr>
          <w:p>
            <w:pPr>
              <w:overflowPunct w:val="0"/>
              <w:autoSpaceDE w:val="0"/>
              <w:adjustRightInd w:val="0"/>
              <w:jc w:val="center"/>
              <w:textAlignment w:val="baseline"/>
              <w:rPr>
                <w:rFonts w:ascii="仿宋_GB2312" w:hAnsi="华文仿宋" w:cs="宋体"/>
                <w:b/>
                <w:bCs/>
                <w:sz w:val="24"/>
                <w:szCs w:val="24"/>
              </w:rPr>
            </w:pPr>
            <w:r>
              <w:rPr>
                <w:rFonts w:ascii="仿宋_GB2312" w:hAnsi="华文仿宋"/>
                <w:b/>
                <w:bCs/>
              </w:rPr>
              <w:t>总计</w:t>
            </w:r>
          </w:p>
        </w:tc>
        <w:tc>
          <w:tcPr>
            <w:tcW w:w="993" w:type="dxa"/>
            <w:tcBorders>
              <w:top w:val="single" w:color="auto" w:sz="4" w:space="0"/>
              <w:left w:val="nil"/>
              <w:bottom w:val="single" w:color="auto" w:sz="4" w:space="0"/>
              <w:right w:val="single" w:color="auto" w:sz="4" w:space="0"/>
            </w:tcBorders>
            <w:shd w:val="clear" w:color="auto" w:fill="99CCFF"/>
            <w:vAlign w:val="center"/>
          </w:tcPr>
          <w:p>
            <w:pPr>
              <w:overflowPunct w:val="0"/>
              <w:autoSpaceDE w:val="0"/>
              <w:autoSpaceDN w:val="0"/>
              <w:adjustRightInd w:val="0"/>
              <w:jc w:val="center"/>
              <w:textAlignment w:val="baseline"/>
              <w:rPr>
                <w:rFonts w:ascii="仿宋_GB2312" w:hAnsi="华文仿宋" w:cs="宋体"/>
                <w:b/>
                <w:bCs/>
                <w:sz w:val="24"/>
                <w:szCs w:val="24"/>
              </w:rPr>
            </w:pPr>
            <w:r>
              <w:rPr>
                <w:rFonts w:ascii="仿宋_GB2312" w:hAnsi="华文仿宋"/>
                <w:b/>
                <w:bCs/>
              </w:rPr>
              <w:t>巩固率</w:t>
            </w:r>
          </w:p>
        </w:tc>
        <w:tc>
          <w:tcPr>
            <w:tcW w:w="708" w:type="dxa"/>
            <w:tcBorders>
              <w:top w:val="single" w:color="auto" w:sz="4" w:space="0"/>
              <w:left w:val="nil"/>
              <w:bottom w:val="single" w:color="auto" w:sz="4" w:space="0"/>
              <w:right w:val="single" w:color="auto" w:sz="4" w:space="0"/>
            </w:tcBorders>
            <w:shd w:val="clear" w:color="auto" w:fill="99CCFF"/>
            <w:vAlign w:val="center"/>
          </w:tcPr>
          <w:p>
            <w:pPr>
              <w:overflowPunct w:val="0"/>
              <w:autoSpaceDE w:val="0"/>
              <w:autoSpaceDN w:val="0"/>
              <w:adjustRightInd w:val="0"/>
              <w:jc w:val="center"/>
              <w:textAlignment w:val="baseline"/>
              <w:rPr>
                <w:rFonts w:ascii="仿宋_GB2312" w:hAnsi="华文仿宋" w:cs="宋体"/>
                <w:b/>
                <w:bCs/>
                <w:sz w:val="24"/>
                <w:szCs w:val="24"/>
              </w:rPr>
            </w:pPr>
            <w:r>
              <w:rPr>
                <w:rFonts w:ascii="仿宋_GB2312" w:hAnsi="华文仿宋"/>
                <w:b/>
                <w:bCs/>
              </w:rPr>
              <w:t>总计</w:t>
            </w:r>
          </w:p>
        </w:tc>
        <w:tc>
          <w:tcPr>
            <w:tcW w:w="993" w:type="dxa"/>
            <w:tcBorders>
              <w:top w:val="single" w:color="auto" w:sz="4" w:space="0"/>
              <w:left w:val="nil"/>
              <w:bottom w:val="single" w:color="auto" w:sz="4" w:space="0"/>
              <w:right w:val="single" w:color="auto" w:sz="4" w:space="0"/>
            </w:tcBorders>
            <w:shd w:val="clear" w:color="auto" w:fill="99CCFF"/>
            <w:vAlign w:val="center"/>
          </w:tcPr>
          <w:p>
            <w:pPr>
              <w:overflowPunct w:val="0"/>
              <w:autoSpaceDE w:val="0"/>
              <w:autoSpaceDN w:val="0"/>
              <w:adjustRightInd w:val="0"/>
              <w:jc w:val="center"/>
              <w:textAlignment w:val="baseline"/>
              <w:rPr>
                <w:rFonts w:ascii="仿宋_GB2312" w:hAnsi="华文仿宋" w:cs="宋体"/>
                <w:b/>
                <w:bCs/>
                <w:sz w:val="24"/>
                <w:szCs w:val="24"/>
              </w:rPr>
            </w:pPr>
            <w:r>
              <w:rPr>
                <w:rFonts w:ascii="仿宋_GB2312" w:hAnsi="华文仿宋"/>
                <w:b/>
                <w:bCs/>
              </w:rPr>
              <w:t>巩固率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vMerge w:val="restart"/>
            <w:tcBorders>
              <w:top w:val="nil"/>
              <w:left w:val="single" w:color="auto" w:sz="4" w:space="0"/>
              <w:bottom w:val="single" w:color="auto" w:sz="4" w:space="0"/>
              <w:right w:val="single" w:color="auto" w:sz="4" w:space="0"/>
            </w:tcBorders>
            <w:shd w:val="clear" w:color="auto" w:fill="FABF8F"/>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2020年</w:t>
            </w:r>
          </w:p>
        </w:tc>
        <w:tc>
          <w:tcPr>
            <w:tcW w:w="992" w:type="dxa"/>
            <w:tcBorders>
              <w:top w:val="single" w:color="auto" w:sz="4" w:space="0"/>
              <w:left w:val="nil"/>
              <w:bottom w:val="single" w:color="auto" w:sz="4" w:space="0"/>
              <w:right w:val="single" w:color="auto" w:sz="4" w:space="0"/>
            </w:tcBorders>
            <w:shd w:val="clear" w:color="auto" w:fill="99CCFF"/>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2016级</w:t>
            </w:r>
          </w:p>
        </w:tc>
        <w:tc>
          <w:tcPr>
            <w:tcW w:w="992" w:type="dxa"/>
            <w:tcBorders>
              <w:top w:val="single" w:color="auto" w:sz="4" w:space="0"/>
              <w:left w:val="nil"/>
              <w:bottom w:val="single" w:color="auto" w:sz="4" w:space="0"/>
              <w:right w:val="single" w:color="auto" w:sz="4" w:space="0"/>
            </w:tcBorders>
            <w:shd w:val="clear" w:color="auto" w:fill="99CCFF"/>
            <w:vAlign w:val="center"/>
          </w:tcPr>
          <w:p>
            <w:pPr>
              <w:overflowPunct w:val="0"/>
              <w:autoSpaceDE w:val="0"/>
              <w:adjustRightInd w:val="0"/>
              <w:jc w:val="center"/>
              <w:textAlignment w:val="baseline"/>
              <w:rPr>
                <w:rFonts w:ascii="仿宋_GB2312" w:hAnsi="华文仿宋" w:cs="宋体"/>
                <w:sz w:val="24"/>
                <w:szCs w:val="24"/>
              </w:rPr>
            </w:pPr>
          </w:p>
        </w:tc>
        <w:tc>
          <w:tcPr>
            <w:tcW w:w="992" w:type="dxa"/>
            <w:tcBorders>
              <w:top w:val="single" w:color="auto" w:sz="4" w:space="0"/>
              <w:left w:val="nil"/>
              <w:bottom w:val="single" w:color="auto" w:sz="4" w:space="0"/>
              <w:right w:val="single" w:color="auto" w:sz="4" w:space="0"/>
            </w:tcBorders>
            <w:shd w:val="clear" w:color="auto" w:fill="99CCFF"/>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33</w:t>
            </w:r>
          </w:p>
        </w:tc>
        <w:tc>
          <w:tcPr>
            <w:tcW w:w="993" w:type="dxa"/>
            <w:tcBorders>
              <w:top w:val="single" w:color="auto" w:sz="4" w:space="0"/>
              <w:left w:val="nil"/>
              <w:bottom w:val="single" w:color="auto" w:sz="4" w:space="0"/>
              <w:right w:val="single" w:color="auto" w:sz="4" w:space="0"/>
            </w:tcBorders>
            <w:shd w:val="clear" w:color="auto" w:fill="99CCFF"/>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33</w:t>
            </w:r>
          </w:p>
        </w:tc>
        <w:tc>
          <w:tcPr>
            <w:tcW w:w="708" w:type="dxa"/>
            <w:vMerge w:val="restart"/>
            <w:tcBorders>
              <w:top w:val="nil"/>
              <w:left w:val="nil"/>
              <w:bottom w:val="single" w:color="auto" w:sz="4" w:space="0"/>
              <w:right w:val="single" w:color="auto" w:sz="4" w:space="0"/>
            </w:tcBorders>
            <w:shd w:val="clear" w:color="auto" w:fill="B6DDE8"/>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657</w:t>
            </w:r>
          </w:p>
        </w:tc>
        <w:tc>
          <w:tcPr>
            <w:tcW w:w="993" w:type="dxa"/>
            <w:vMerge w:val="restart"/>
            <w:tcBorders>
              <w:top w:val="nil"/>
              <w:left w:val="nil"/>
              <w:bottom w:val="single" w:color="auto" w:sz="4" w:space="0"/>
              <w:right w:val="single" w:color="auto" w:sz="4" w:space="0"/>
            </w:tcBorders>
            <w:shd w:val="clear" w:color="auto" w:fill="B6DDE8"/>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95.22%</w:t>
            </w:r>
          </w:p>
        </w:tc>
        <w:tc>
          <w:tcPr>
            <w:tcW w:w="708" w:type="dxa"/>
            <w:vMerge w:val="restart"/>
            <w:tcBorders>
              <w:top w:val="nil"/>
              <w:left w:val="nil"/>
              <w:bottom w:val="single" w:color="auto" w:sz="4" w:space="0"/>
              <w:right w:val="single" w:color="auto" w:sz="4" w:space="0"/>
            </w:tcBorders>
            <w:shd w:val="clear" w:color="auto" w:fill="B6DDE8"/>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136</w:t>
            </w:r>
          </w:p>
        </w:tc>
        <w:tc>
          <w:tcPr>
            <w:tcW w:w="993" w:type="dxa"/>
            <w:vMerge w:val="restart"/>
            <w:tcBorders>
              <w:top w:val="nil"/>
              <w:left w:val="nil"/>
              <w:bottom w:val="single" w:color="auto" w:sz="4" w:space="0"/>
              <w:right w:val="single" w:color="auto" w:sz="4" w:space="0"/>
            </w:tcBorders>
            <w:shd w:val="clear" w:color="auto" w:fill="B6DDE8"/>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89.47%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_GB2312" w:hAnsi="华文仿宋" w:cs="宋体"/>
                <w:sz w:val="24"/>
                <w:szCs w:val="24"/>
              </w:rPr>
            </w:pPr>
          </w:p>
        </w:tc>
        <w:tc>
          <w:tcPr>
            <w:tcW w:w="992" w:type="dxa"/>
            <w:tcBorders>
              <w:top w:val="single" w:color="auto" w:sz="4" w:space="0"/>
              <w:left w:val="nil"/>
              <w:bottom w:val="single" w:color="auto" w:sz="4" w:space="0"/>
              <w:right w:val="single" w:color="auto" w:sz="4" w:space="0"/>
            </w:tcBorders>
            <w:shd w:val="clear" w:color="auto" w:fill="C7DAF1"/>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2017级</w:t>
            </w:r>
          </w:p>
        </w:tc>
        <w:tc>
          <w:tcPr>
            <w:tcW w:w="992" w:type="dxa"/>
            <w:tcBorders>
              <w:top w:val="single" w:color="auto" w:sz="4" w:space="0"/>
              <w:left w:val="nil"/>
              <w:bottom w:val="single" w:color="auto" w:sz="4" w:space="0"/>
              <w:right w:val="single" w:color="auto" w:sz="4" w:space="0"/>
            </w:tcBorders>
            <w:shd w:val="clear" w:color="auto" w:fill="C7DAF1"/>
            <w:vAlign w:val="center"/>
          </w:tcPr>
          <w:p>
            <w:pPr>
              <w:overflowPunct w:val="0"/>
              <w:autoSpaceDE w:val="0"/>
              <w:adjustRightInd w:val="0"/>
              <w:jc w:val="center"/>
              <w:textAlignment w:val="baseline"/>
              <w:rPr>
                <w:rFonts w:ascii="仿宋_GB2312" w:hAnsi="华文仿宋" w:cs="宋体"/>
                <w:sz w:val="24"/>
                <w:szCs w:val="24"/>
              </w:rPr>
            </w:pPr>
          </w:p>
        </w:tc>
        <w:tc>
          <w:tcPr>
            <w:tcW w:w="992" w:type="dxa"/>
            <w:tcBorders>
              <w:top w:val="single" w:color="auto" w:sz="4" w:space="0"/>
              <w:left w:val="nil"/>
              <w:bottom w:val="single" w:color="auto" w:sz="4" w:space="0"/>
              <w:right w:val="single" w:color="auto" w:sz="4" w:space="0"/>
            </w:tcBorders>
            <w:shd w:val="clear" w:color="auto" w:fill="C7DAF1"/>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26</w:t>
            </w:r>
          </w:p>
        </w:tc>
        <w:tc>
          <w:tcPr>
            <w:tcW w:w="993" w:type="dxa"/>
            <w:tcBorders>
              <w:top w:val="single" w:color="auto" w:sz="4" w:space="0"/>
              <w:left w:val="nil"/>
              <w:bottom w:val="single" w:color="auto" w:sz="4" w:space="0"/>
              <w:right w:val="single" w:color="auto" w:sz="4" w:space="0"/>
            </w:tcBorders>
            <w:shd w:val="clear" w:color="auto" w:fill="C7DAF1"/>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26</w:t>
            </w:r>
          </w:p>
        </w:tc>
        <w:tc>
          <w:tcPr>
            <w:tcW w:w="708" w:type="dxa"/>
            <w:vMerge w:val="continue"/>
            <w:tcBorders>
              <w:top w:val="nil"/>
              <w:left w:val="nil"/>
              <w:bottom w:val="single" w:color="auto" w:sz="4" w:space="0"/>
              <w:right w:val="single" w:color="auto" w:sz="4" w:space="0"/>
            </w:tcBorders>
            <w:vAlign w:val="center"/>
          </w:tcPr>
          <w:p>
            <w:pPr>
              <w:rPr>
                <w:rFonts w:ascii="仿宋_GB2312" w:hAnsi="华文仿宋" w:cs="宋体"/>
                <w:sz w:val="24"/>
                <w:szCs w:val="24"/>
              </w:rPr>
            </w:pPr>
          </w:p>
        </w:tc>
        <w:tc>
          <w:tcPr>
            <w:tcW w:w="993" w:type="dxa"/>
            <w:vMerge w:val="continue"/>
            <w:tcBorders>
              <w:top w:val="nil"/>
              <w:left w:val="nil"/>
              <w:bottom w:val="single" w:color="auto" w:sz="4" w:space="0"/>
              <w:right w:val="single" w:color="auto" w:sz="4" w:space="0"/>
            </w:tcBorders>
            <w:vAlign w:val="center"/>
          </w:tcPr>
          <w:p>
            <w:pPr>
              <w:rPr>
                <w:rFonts w:ascii="仿宋_GB2312" w:hAnsi="华文仿宋" w:cs="宋体"/>
                <w:sz w:val="24"/>
                <w:szCs w:val="24"/>
              </w:rPr>
            </w:pPr>
          </w:p>
        </w:tc>
        <w:tc>
          <w:tcPr>
            <w:tcW w:w="708" w:type="dxa"/>
            <w:vMerge w:val="continue"/>
            <w:tcBorders>
              <w:top w:val="nil"/>
              <w:left w:val="nil"/>
              <w:bottom w:val="single" w:color="auto" w:sz="4" w:space="0"/>
              <w:right w:val="single" w:color="auto" w:sz="4" w:space="0"/>
            </w:tcBorders>
            <w:vAlign w:val="center"/>
          </w:tcPr>
          <w:p>
            <w:pPr>
              <w:rPr>
                <w:rFonts w:ascii="仿宋_GB2312" w:hAnsi="华文仿宋" w:cs="宋体"/>
                <w:sz w:val="24"/>
                <w:szCs w:val="24"/>
              </w:rPr>
            </w:pPr>
          </w:p>
        </w:tc>
        <w:tc>
          <w:tcPr>
            <w:tcW w:w="993" w:type="dxa"/>
            <w:vMerge w:val="continue"/>
            <w:tcBorders>
              <w:top w:val="nil"/>
              <w:left w:val="nil"/>
              <w:bottom w:val="single" w:color="auto" w:sz="4" w:space="0"/>
              <w:right w:val="single" w:color="auto" w:sz="4" w:space="0"/>
            </w:tcBorders>
            <w:vAlign w:val="center"/>
          </w:tcPr>
          <w:p>
            <w:pPr>
              <w:rPr>
                <w:rFonts w:ascii="仿宋_GB2312" w:hAnsi="华文仿宋"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_GB2312" w:hAnsi="华文仿宋" w:cs="宋体"/>
                <w:sz w:val="24"/>
                <w:szCs w:val="24"/>
              </w:rPr>
            </w:pPr>
          </w:p>
        </w:tc>
        <w:tc>
          <w:tcPr>
            <w:tcW w:w="992" w:type="dxa"/>
            <w:tcBorders>
              <w:top w:val="single" w:color="auto" w:sz="4" w:space="0"/>
              <w:left w:val="nil"/>
              <w:bottom w:val="single" w:color="auto" w:sz="4" w:space="0"/>
              <w:right w:val="single" w:color="auto" w:sz="4" w:space="0"/>
            </w:tcBorders>
            <w:shd w:val="clear" w:color="auto" w:fill="ADDAB2"/>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2018级</w:t>
            </w:r>
          </w:p>
        </w:tc>
        <w:tc>
          <w:tcPr>
            <w:tcW w:w="992" w:type="dxa"/>
            <w:tcBorders>
              <w:top w:val="single" w:color="auto" w:sz="4" w:space="0"/>
              <w:left w:val="nil"/>
              <w:bottom w:val="single" w:color="auto" w:sz="4" w:space="0"/>
              <w:right w:val="single" w:color="auto" w:sz="4" w:space="0"/>
            </w:tcBorders>
            <w:shd w:val="clear" w:color="auto" w:fill="ADDAB2"/>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124</w:t>
            </w:r>
          </w:p>
        </w:tc>
        <w:tc>
          <w:tcPr>
            <w:tcW w:w="992" w:type="dxa"/>
            <w:tcBorders>
              <w:top w:val="single" w:color="auto" w:sz="4" w:space="0"/>
              <w:left w:val="nil"/>
              <w:bottom w:val="single" w:color="auto" w:sz="4" w:space="0"/>
              <w:right w:val="single" w:color="auto" w:sz="4" w:space="0"/>
            </w:tcBorders>
            <w:shd w:val="clear" w:color="auto" w:fill="ADDAB2"/>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53</w:t>
            </w:r>
          </w:p>
        </w:tc>
        <w:tc>
          <w:tcPr>
            <w:tcW w:w="993" w:type="dxa"/>
            <w:tcBorders>
              <w:top w:val="single" w:color="auto" w:sz="4" w:space="0"/>
              <w:left w:val="nil"/>
              <w:bottom w:val="single" w:color="auto" w:sz="4" w:space="0"/>
              <w:right w:val="single" w:color="auto" w:sz="4" w:space="0"/>
            </w:tcBorders>
            <w:shd w:val="clear" w:color="auto" w:fill="ADDAB2"/>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177</w:t>
            </w:r>
          </w:p>
        </w:tc>
        <w:tc>
          <w:tcPr>
            <w:tcW w:w="708" w:type="dxa"/>
            <w:vMerge w:val="continue"/>
            <w:tcBorders>
              <w:top w:val="nil"/>
              <w:left w:val="nil"/>
              <w:bottom w:val="single" w:color="auto" w:sz="4" w:space="0"/>
              <w:right w:val="single" w:color="auto" w:sz="4" w:space="0"/>
            </w:tcBorders>
            <w:vAlign w:val="center"/>
          </w:tcPr>
          <w:p>
            <w:pPr>
              <w:rPr>
                <w:rFonts w:ascii="仿宋_GB2312" w:hAnsi="华文仿宋" w:cs="宋体"/>
                <w:sz w:val="24"/>
                <w:szCs w:val="24"/>
              </w:rPr>
            </w:pPr>
          </w:p>
        </w:tc>
        <w:tc>
          <w:tcPr>
            <w:tcW w:w="993" w:type="dxa"/>
            <w:vMerge w:val="continue"/>
            <w:tcBorders>
              <w:top w:val="nil"/>
              <w:left w:val="nil"/>
              <w:bottom w:val="single" w:color="auto" w:sz="4" w:space="0"/>
              <w:right w:val="single" w:color="auto" w:sz="4" w:space="0"/>
            </w:tcBorders>
            <w:vAlign w:val="center"/>
          </w:tcPr>
          <w:p>
            <w:pPr>
              <w:rPr>
                <w:rFonts w:ascii="仿宋_GB2312" w:hAnsi="华文仿宋" w:cs="宋体"/>
                <w:sz w:val="24"/>
                <w:szCs w:val="24"/>
              </w:rPr>
            </w:pPr>
          </w:p>
        </w:tc>
        <w:tc>
          <w:tcPr>
            <w:tcW w:w="708" w:type="dxa"/>
            <w:vMerge w:val="continue"/>
            <w:tcBorders>
              <w:top w:val="nil"/>
              <w:left w:val="nil"/>
              <w:bottom w:val="single" w:color="auto" w:sz="4" w:space="0"/>
              <w:right w:val="single" w:color="auto" w:sz="4" w:space="0"/>
            </w:tcBorders>
            <w:vAlign w:val="center"/>
          </w:tcPr>
          <w:p>
            <w:pPr>
              <w:rPr>
                <w:rFonts w:ascii="仿宋_GB2312" w:hAnsi="华文仿宋" w:cs="宋体"/>
                <w:sz w:val="24"/>
                <w:szCs w:val="24"/>
              </w:rPr>
            </w:pPr>
          </w:p>
        </w:tc>
        <w:tc>
          <w:tcPr>
            <w:tcW w:w="993" w:type="dxa"/>
            <w:vMerge w:val="continue"/>
            <w:tcBorders>
              <w:top w:val="nil"/>
              <w:left w:val="nil"/>
              <w:bottom w:val="single" w:color="auto" w:sz="4" w:space="0"/>
              <w:right w:val="single" w:color="auto" w:sz="4" w:space="0"/>
            </w:tcBorders>
            <w:vAlign w:val="center"/>
          </w:tcPr>
          <w:p>
            <w:pPr>
              <w:rPr>
                <w:rFonts w:ascii="仿宋_GB2312" w:hAnsi="华文仿宋"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_GB2312" w:hAnsi="华文仿宋" w:cs="宋体"/>
                <w:sz w:val="24"/>
                <w:szCs w:val="24"/>
              </w:rPr>
            </w:pPr>
          </w:p>
        </w:tc>
        <w:tc>
          <w:tcPr>
            <w:tcW w:w="992" w:type="dxa"/>
            <w:tcBorders>
              <w:top w:val="single" w:color="auto" w:sz="4" w:space="0"/>
              <w:left w:val="nil"/>
              <w:bottom w:val="single" w:color="auto" w:sz="4" w:space="0"/>
              <w:right w:val="single" w:color="auto" w:sz="4" w:space="0"/>
            </w:tcBorders>
            <w:shd w:val="clear" w:color="auto" w:fill="DCD8C2"/>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2019级</w:t>
            </w:r>
          </w:p>
        </w:tc>
        <w:tc>
          <w:tcPr>
            <w:tcW w:w="992" w:type="dxa"/>
            <w:tcBorders>
              <w:top w:val="single" w:color="auto" w:sz="4" w:space="0"/>
              <w:left w:val="nil"/>
              <w:bottom w:val="single" w:color="auto" w:sz="4" w:space="0"/>
              <w:right w:val="single" w:color="auto" w:sz="4" w:space="0"/>
            </w:tcBorders>
            <w:shd w:val="clear" w:color="auto" w:fill="DCD8C2"/>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124</w:t>
            </w:r>
          </w:p>
        </w:tc>
        <w:tc>
          <w:tcPr>
            <w:tcW w:w="992" w:type="dxa"/>
            <w:tcBorders>
              <w:top w:val="single" w:color="auto" w:sz="4" w:space="0"/>
              <w:left w:val="nil"/>
              <w:bottom w:val="single" w:color="auto" w:sz="4" w:space="0"/>
              <w:right w:val="single" w:color="auto" w:sz="4" w:space="0"/>
            </w:tcBorders>
            <w:shd w:val="clear" w:color="auto" w:fill="DCD8C2"/>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86</w:t>
            </w:r>
          </w:p>
        </w:tc>
        <w:tc>
          <w:tcPr>
            <w:tcW w:w="993" w:type="dxa"/>
            <w:tcBorders>
              <w:top w:val="single" w:color="auto" w:sz="4" w:space="0"/>
              <w:left w:val="nil"/>
              <w:bottom w:val="single" w:color="auto" w:sz="4" w:space="0"/>
              <w:right w:val="single" w:color="auto" w:sz="4" w:space="0"/>
            </w:tcBorders>
            <w:shd w:val="clear" w:color="auto" w:fill="DCD8C2"/>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210</w:t>
            </w:r>
          </w:p>
        </w:tc>
        <w:tc>
          <w:tcPr>
            <w:tcW w:w="708" w:type="dxa"/>
            <w:vMerge w:val="continue"/>
            <w:tcBorders>
              <w:top w:val="nil"/>
              <w:left w:val="nil"/>
              <w:bottom w:val="single" w:color="auto" w:sz="4" w:space="0"/>
              <w:right w:val="single" w:color="auto" w:sz="4" w:space="0"/>
            </w:tcBorders>
            <w:vAlign w:val="center"/>
          </w:tcPr>
          <w:p>
            <w:pPr>
              <w:rPr>
                <w:rFonts w:ascii="仿宋_GB2312" w:hAnsi="华文仿宋" w:cs="宋体"/>
                <w:sz w:val="24"/>
                <w:szCs w:val="24"/>
              </w:rPr>
            </w:pPr>
          </w:p>
        </w:tc>
        <w:tc>
          <w:tcPr>
            <w:tcW w:w="993" w:type="dxa"/>
            <w:vMerge w:val="continue"/>
            <w:tcBorders>
              <w:top w:val="nil"/>
              <w:left w:val="nil"/>
              <w:bottom w:val="single" w:color="auto" w:sz="4" w:space="0"/>
              <w:right w:val="single" w:color="auto" w:sz="4" w:space="0"/>
            </w:tcBorders>
            <w:vAlign w:val="center"/>
          </w:tcPr>
          <w:p>
            <w:pPr>
              <w:rPr>
                <w:rFonts w:ascii="仿宋_GB2312" w:hAnsi="华文仿宋" w:cs="宋体"/>
                <w:sz w:val="24"/>
                <w:szCs w:val="24"/>
              </w:rPr>
            </w:pPr>
          </w:p>
        </w:tc>
        <w:tc>
          <w:tcPr>
            <w:tcW w:w="708" w:type="dxa"/>
            <w:vMerge w:val="continue"/>
            <w:tcBorders>
              <w:top w:val="nil"/>
              <w:left w:val="nil"/>
              <w:bottom w:val="single" w:color="auto" w:sz="4" w:space="0"/>
              <w:right w:val="single" w:color="auto" w:sz="4" w:space="0"/>
            </w:tcBorders>
            <w:vAlign w:val="center"/>
          </w:tcPr>
          <w:p>
            <w:pPr>
              <w:rPr>
                <w:rFonts w:ascii="仿宋_GB2312" w:hAnsi="华文仿宋" w:cs="宋体"/>
                <w:sz w:val="24"/>
                <w:szCs w:val="24"/>
              </w:rPr>
            </w:pPr>
          </w:p>
        </w:tc>
        <w:tc>
          <w:tcPr>
            <w:tcW w:w="993" w:type="dxa"/>
            <w:vMerge w:val="continue"/>
            <w:tcBorders>
              <w:top w:val="nil"/>
              <w:left w:val="nil"/>
              <w:bottom w:val="single" w:color="auto" w:sz="4" w:space="0"/>
              <w:right w:val="single" w:color="auto" w:sz="4" w:space="0"/>
            </w:tcBorders>
            <w:vAlign w:val="center"/>
          </w:tcPr>
          <w:p>
            <w:pPr>
              <w:rPr>
                <w:rFonts w:ascii="仿宋_GB2312" w:hAnsi="华文仿宋"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rPr>
                <w:rFonts w:ascii="仿宋_GB2312" w:hAnsi="华文仿宋" w:cs="宋体"/>
                <w:sz w:val="24"/>
                <w:szCs w:val="24"/>
              </w:rPr>
            </w:pPr>
          </w:p>
        </w:tc>
        <w:tc>
          <w:tcPr>
            <w:tcW w:w="992" w:type="dxa"/>
            <w:tcBorders>
              <w:top w:val="single" w:color="auto" w:sz="4" w:space="0"/>
              <w:left w:val="nil"/>
              <w:bottom w:val="single" w:color="auto" w:sz="4" w:space="0"/>
              <w:right w:val="single" w:color="auto" w:sz="4" w:space="0"/>
            </w:tcBorders>
            <w:shd w:val="clear" w:color="auto" w:fill="B6DDE8"/>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2020级</w:t>
            </w:r>
          </w:p>
        </w:tc>
        <w:tc>
          <w:tcPr>
            <w:tcW w:w="992" w:type="dxa"/>
            <w:tcBorders>
              <w:top w:val="single" w:color="auto" w:sz="4" w:space="0"/>
              <w:left w:val="nil"/>
              <w:bottom w:val="single" w:color="auto" w:sz="4" w:space="0"/>
              <w:right w:val="single" w:color="auto" w:sz="4" w:space="0"/>
            </w:tcBorders>
            <w:shd w:val="clear" w:color="auto" w:fill="B6DDE8"/>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146</w:t>
            </w:r>
          </w:p>
        </w:tc>
        <w:tc>
          <w:tcPr>
            <w:tcW w:w="992" w:type="dxa"/>
            <w:tcBorders>
              <w:top w:val="single" w:color="auto" w:sz="4" w:space="0"/>
              <w:left w:val="nil"/>
              <w:bottom w:val="single" w:color="auto" w:sz="4" w:space="0"/>
              <w:right w:val="single" w:color="auto" w:sz="4" w:space="0"/>
            </w:tcBorders>
            <w:shd w:val="clear" w:color="auto" w:fill="B6DDE8"/>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65</w:t>
            </w:r>
          </w:p>
        </w:tc>
        <w:tc>
          <w:tcPr>
            <w:tcW w:w="993" w:type="dxa"/>
            <w:tcBorders>
              <w:top w:val="single" w:color="auto" w:sz="4" w:space="0"/>
              <w:left w:val="nil"/>
              <w:bottom w:val="single" w:color="auto" w:sz="4" w:space="0"/>
              <w:right w:val="single" w:color="auto" w:sz="4" w:space="0"/>
            </w:tcBorders>
            <w:shd w:val="clear" w:color="auto" w:fill="B6DDE8"/>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211</w:t>
            </w:r>
          </w:p>
        </w:tc>
        <w:tc>
          <w:tcPr>
            <w:tcW w:w="708" w:type="dxa"/>
            <w:vMerge w:val="continue"/>
            <w:tcBorders>
              <w:top w:val="nil"/>
              <w:left w:val="nil"/>
              <w:bottom w:val="single" w:color="auto" w:sz="4" w:space="0"/>
              <w:right w:val="single" w:color="auto" w:sz="4" w:space="0"/>
            </w:tcBorders>
            <w:vAlign w:val="center"/>
          </w:tcPr>
          <w:p>
            <w:pPr>
              <w:rPr>
                <w:rFonts w:ascii="仿宋_GB2312" w:hAnsi="华文仿宋" w:cs="宋体"/>
                <w:sz w:val="24"/>
                <w:szCs w:val="24"/>
              </w:rPr>
            </w:pPr>
          </w:p>
        </w:tc>
        <w:tc>
          <w:tcPr>
            <w:tcW w:w="993" w:type="dxa"/>
            <w:vMerge w:val="continue"/>
            <w:tcBorders>
              <w:top w:val="nil"/>
              <w:left w:val="nil"/>
              <w:bottom w:val="single" w:color="auto" w:sz="4" w:space="0"/>
              <w:right w:val="single" w:color="auto" w:sz="4" w:space="0"/>
            </w:tcBorders>
            <w:vAlign w:val="center"/>
          </w:tcPr>
          <w:p>
            <w:pPr>
              <w:rPr>
                <w:rFonts w:ascii="仿宋_GB2312" w:hAnsi="华文仿宋" w:cs="宋体"/>
                <w:sz w:val="24"/>
                <w:szCs w:val="24"/>
              </w:rPr>
            </w:pPr>
          </w:p>
        </w:tc>
        <w:tc>
          <w:tcPr>
            <w:tcW w:w="708" w:type="dxa"/>
            <w:vMerge w:val="continue"/>
            <w:tcBorders>
              <w:top w:val="nil"/>
              <w:left w:val="nil"/>
              <w:bottom w:val="single" w:color="auto" w:sz="4" w:space="0"/>
              <w:right w:val="single" w:color="auto" w:sz="4" w:space="0"/>
            </w:tcBorders>
            <w:vAlign w:val="center"/>
          </w:tcPr>
          <w:p>
            <w:pPr>
              <w:rPr>
                <w:rFonts w:ascii="仿宋_GB2312" w:hAnsi="华文仿宋" w:cs="宋体"/>
                <w:sz w:val="24"/>
                <w:szCs w:val="24"/>
              </w:rPr>
            </w:pPr>
          </w:p>
        </w:tc>
        <w:tc>
          <w:tcPr>
            <w:tcW w:w="993" w:type="dxa"/>
            <w:vMerge w:val="continue"/>
            <w:tcBorders>
              <w:top w:val="nil"/>
              <w:left w:val="nil"/>
              <w:bottom w:val="single" w:color="auto" w:sz="4" w:space="0"/>
              <w:right w:val="single" w:color="auto" w:sz="4" w:space="0"/>
            </w:tcBorders>
            <w:vAlign w:val="center"/>
          </w:tcPr>
          <w:p>
            <w:pPr>
              <w:rPr>
                <w:rFonts w:ascii="仿宋_GB2312" w:hAnsi="华文仿宋"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101" w:type="dxa"/>
            <w:vMerge w:val="restart"/>
            <w:tcBorders>
              <w:top w:val="nil"/>
              <w:left w:val="single" w:color="auto" w:sz="4" w:space="0"/>
              <w:bottom w:val="single" w:color="auto" w:sz="4" w:space="0"/>
              <w:right w:val="single" w:color="auto" w:sz="4" w:space="0"/>
            </w:tcBorders>
            <w:shd w:val="clear" w:color="auto" w:fill="B6DDE8"/>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202</w:t>
            </w:r>
            <w:r>
              <w:rPr>
                <w:rFonts w:hint="eastAsia" w:ascii="仿宋_GB2312" w:hAnsi="华文仿宋"/>
              </w:rPr>
              <w:t>1</w:t>
            </w:r>
            <w:r>
              <w:rPr>
                <w:rFonts w:ascii="仿宋_GB2312" w:hAnsi="华文仿宋"/>
              </w:rPr>
              <w:t>年</w:t>
            </w:r>
          </w:p>
        </w:tc>
        <w:tc>
          <w:tcPr>
            <w:tcW w:w="992" w:type="dxa"/>
            <w:tcBorders>
              <w:top w:val="single" w:color="auto" w:sz="4" w:space="0"/>
              <w:left w:val="nil"/>
              <w:bottom w:val="single" w:color="auto" w:sz="4" w:space="0"/>
              <w:right w:val="single" w:color="auto" w:sz="4" w:space="0"/>
            </w:tcBorders>
            <w:shd w:val="clear" w:color="auto" w:fill="C7DAF1"/>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2017级</w:t>
            </w:r>
          </w:p>
        </w:tc>
        <w:tc>
          <w:tcPr>
            <w:tcW w:w="992" w:type="dxa"/>
            <w:tcBorders>
              <w:top w:val="single" w:color="auto" w:sz="4" w:space="0"/>
              <w:left w:val="nil"/>
              <w:bottom w:val="single" w:color="auto" w:sz="4" w:space="0"/>
              <w:right w:val="single" w:color="auto" w:sz="4" w:space="0"/>
            </w:tcBorders>
            <w:shd w:val="clear" w:color="auto" w:fill="C7DAF1"/>
            <w:vAlign w:val="center"/>
          </w:tcPr>
          <w:p>
            <w:pPr>
              <w:overflowPunct w:val="0"/>
              <w:autoSpaceDE w:val="0"/>
              <w:adjustRightInd w:val="0"/>
              <w:jc w:val="center"/>
              <w:textAlignment w:val="baseline"/>
              <w:rPr>
                <w:rFonts w:ascii="仿宋_GB2312" w:hAnsi="华文仿宋" w:cs="宋体"/>
                <w:sz w:val="24"/>
                <w:szCs w:val="24"/>
              </w:rPr>
            </w:pPr>
          </w:p>
        </w:tc>
        <w:tc>
          <w:tcPr>
            <w:tcW w:w="992" w:type="dxa"/>
            <w:tcBorders>
              <w:top w:val="single" w:color="auto" w:sz="4" w:space="0"/>
              <w:left w:val="nil"/>
              <w:bottom w:val="single" w:color="auto" w:sz="4" w:space="0"/>
              <w:right w:val="single" w:color="auto" w:sz="4" w:space="0"/>
            </w:tcBorders>
            <w:shd w:val="clear" w:color="auto" w:fill="C7DAF1"/>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26</w:t>
            </w:r>
          </w:p>
        </w:tc>
        <w:tc>
          <w:tcPr>
            <w:tcW w:w="993" w:type="dxa"/>
            <w:tcBorders>
              <w:top w:val="single" w:color="auto" w:sz="4" w:space="0"/>
              <w:left w:val="nil"/>
              <w:bottom w:val="single" w:color="auto" w:sz="4" w:space="0"/>
              <w:right w:val="single" w:color="auto" w:sz="4" w:space="0"/>
            </w:tcBorders>
            <w:shd w:val="clear" w:color="auto" w:fill="C7DAF1"/>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26</w:t>
            </w:r>
          </w:p>
        </w:tc>
        <w:tc>
          <w:tcPr>
            <w:tcW w:w="708" w:type="dxa"/>
            <w:vMerge w:val="restart"/>
            <w:tcBorders>
              <w:top w:val="nil"/>
              <w:left w:val="nil"/>
              <w:bottom w:val="single" w:color="auto" w:sz="4" w:space="0"/>
              <w:right w:val="single" w:color="auto" w:sz="4" w:space="0"/>
            </w:tcBorders>
            <w:shd w:val="clear" w:color="auto" w:fill="B6DDE8"/>
            <w:vAlign w:val="center"/>
          </w:tcPr>
          <w:p>
            <w:pPr>
              <w:overflowPunct w:val="0"/>
              <w:autoSpaceDE w:val="0"/>
              <w:adjustRightInd w:val="0"/>
              <w:jc w:val="center"/>
              <w:textAlignment w:val="baseline"/>
              <w:rPr>
                <w:rFonts w:ascii="仿宋_GB2312" w:hAnsi="华文仿宋" w:cs="宋体"/>
                <w:sz w:val="24"/>
                <w:szCs w:val="24"/>
              </w:rPr>
            </w:pPr>
            <w:r>
              <w:rPr>
                <w:rFonts w:hint="eastAsia" w:ascii="仿宋_GB2312" w:hAnsi="华文仿宋"/>
              </w:rPr>
              <w:t>725</w:t>
            </w:r>
          </w:p>
        </w:tc>
        <w:tc>
          <w:tcPr>
            <w:tcW w:w="993" w:type="dxa"/>
            <w:vMerge w:val="restart"/>
            <w:tcBorders>
              <w:top w:val="nil"/>
              <w:left w:val="nil"/>
              <w:bottom w:val="single" w:color="auto" w:sz="4" w:space="0"/>
              <w:right w:val="single" w:color="auto" w:sz="4" w:space="0"/>
            </w:tcBorders>
            <w:shd w:val="clear" w:color="auto" w:fill="B6DDE8"/>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9</w:t>
            </w:r>
            <w:r>
              <w:rPr>
                <w:rFonts w:hint="eastAsia" w:ascii="仿宋_GB2312" w:hAnsi="华文仿宋"/>
              </w:rPr>
              <w:t>6.67</w:t>
            </w:r>
            <w:r>
              <w:rPr>
                <w:rFonts w:ascii="仿宋_GB2312" w:hAnsi="华文仿宋"/>
              </w:rPr>
              <w:t>%</w:t>
            </w:r>
          </w:p>
        </w:tc>
        <w:tc>
          <w:tcPr>
            <w:tcW w:w="708" w:type="dxa"/>
            <w:vMerge w:val="restart"/>
            <w:tcBorders>
              <w:top w:val="nil"/>
              <w:left w:val="nil"/>
              <w:bottom w:val="single" w:color="auto" w:sz="4" w:space="0"/>
              <w:right w:val="single" w:color="auto" w:sz="4" w:space="0"/>
            </w:tcBorders>
            <w:shd w:val="clear" w:color="auto" w:fill="B6DDE8"/>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1</w:t>
            </w:r>
            <w:r>
              <w:rPr>
                <w:rFonts w:hint="eastAsia" w:ascii="仿宋_GB2312" w:hAnsi="华文仿宋"/>
              </w:rPr>
              <w:t>57</w:t>
            </w:r>
          </w:p>
        </w:tc>
        <w:tc>
          <w:tcPr>
            <w:tcW w:w="993" w:type="dxa"/>
            <w:vMerge w:val="restart"/>
            <w:tcBorders>
              <w:top w:val="nil"/>
              <w:left w:val="nil"/>
              <w:bottom w:val="single" w:color="auto" w:sz="4" w:space="0"/>
              <w:right w:val="single" w:color="auto" w:sz="4" w:space="0"/>
            </w:tcBorders>
            <w:shd w:val="clear" w:color="auto" w:fill="B6DDE8"/>
            <w:vAlign w:val="center"/>
          </w:tcPr>
          <w:p>
            <w:pPr>
              <w:overflowPunct w:val="0"/>
              <w:autoSpaceDE w:val="0"/>
              <w:adjustRightInd w:val="0"/>
              <w:jc w:val="center"/>
              <w:textAlignment w:val="baseline"/>
              <w:rPr>
                <w:rFonts w:ascii="仿宋_GB2312" w:hAnsi="华文仿宋" w:cs="宋体"/>
                <w:sz w:val="24"/>
                <w:szCs w:val="24"/>
              </w:rPr>
            </w:pPr>
            <w:r>
              <w:rPr>
                <w:rFonts w:hint="eastAsia" w:ascii="仿宋_GB2312" w:hAnsi="华文仿宋"/>
              </w:rPr>
              <w:t>90.75</w:t>
            </w:r>
            <w:r>
              <w:rPr>
                <w:rFonts w:ascii="仿宋_GB2312" w:hAnsi="华文仿宋"/>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101" w:type="dxa"/>
            <w:vMerge w:val="continue"/>
            <w:tcBorders>
              <w:top w:val="nil"/>
              <w:left w:val="single" w:color="auto" w:sz="4" w:space="0"/>
              <w:bottom w:val="single" w:color="auto" w:sz="4" w:space="0"/>
              <w:right w:val="single" w:color="auto" w:sz="4" w:space="0"/>
            </w:tcBorders>
            <w:shd w:val="clear" w:color="auto" w:fill="B6DDE8"/>
            <w:vAlign w:val="center"/>
          </w:tcPr>
          <w:p>
            <w:pPr>
              <w:rPr>
                <w:rFonts w:ascii="仿宋_GB2312" w:hAnsi="华文仿宋" w:cs="宋体"/>
                <w:sz w:val="24"/>
                <w:szCs w:val="24"/>
              </w:rPr>
            </w:pPr>
          </w:p>
        </w:tc>
        <w:tc>
          <w:tcPr>
            <w:tcW w:w="992" w:type="dxa"/>
            <w:tcBorders>
              <w:top w:val="single" w:color="auto" w:sz="4" w:space="0"/>
              <w:left w:val="nil"/>
              <w:bottom w:val="single" w:color="auto" w:sz="4" w:space="0"/>
              <w:right w:val="single" w:color="auto" w:sz="4" w:space="0"/>
            </w:tcBorders>
            <w:shd w:val="clear" w:color="auto" w:fill="ADDAB2"/>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2018级</w:t>
            </w:r>
          </w:p>
        </w:tc>
        <w:tc>
          <w:tcPr>
            <w:tcW w:w="992" w:type="dxa"/>
            <w:tcBorders>
              <w:top w:val="single" w:color="auto" w:sz="4" w:space="0"/>
              <w:left w:val="nil"/>
              <w:bottom w:val="single" w:color="auto" w:sz="4" w:space="0"/>
              <w:right w:val="single" w:color="auto" w:sz="4" w:space="0"/>
            </w:tcBorders>
            <w:shd w:val="clear" w:color="auto" w:fill="ADDAB2"/>
            <w:vAlign w:val="center"/>
          </w:tcPr>
          <w:p>
            <w:pPr>
              <w:overflowPunct w:val="0"/>
              <w:autoSpaceDE w:val="0"/>
              <w:adjustRightInd w:val="0"/>
              <w:jc w:val="center"/>
              <w:textAlignment w:val="baseline"/>
              <w:rPr>
                <w:rFonts w:ascii="仿宋_GB2312" w:hAnsi="华文仿宋" w:cs="宋体"/>
                <w:sz w:val="24"/>
                <w:szCs w:val="24"/>
              </w:rPr>
            </w:pPr>
          </w:p>
        </w:tc>
        <w:tc>
          <w:tcPr>
            <w:tcW w:w="992" w:type="dxa"/>
            <w:tcBorders>
              <w:top w:val="single" w:color="auto" w:sz="4" w:space="0"/>
              <w:left w:val="nil"/>
              <w:bottom w:val="single" w:color="auto" w:sz="4" w:space="0"/>
              <w:right w:val="single" w:color="auto" w:sz="4" w:space="0"/>
            </w:tcBorders>
            <w:shd w:val="clear" w:color="auto" w:fill="ADDAB2"/>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5</w:t>
            </w:r>
            <w:r>
              <w:rPr>
                <w:rFonts w:hint="eastAsia" w:ascii="仿宋_GB2312" w:hAnsi="华文仿宋"/>
              </w:rPr>
              <w:t>3</w:t>
            </w:r>
          </w:p>
        </w:tc>
        <w:tc>
          <w:tcPr>
            <w:tcW w:w="993" w:type="dxa"/>
            <w:tcBorders>
              <w:top w:val="single" w:color="auto" w:sz="4" w:space="0"/>
              <w:left w:val="nil"/>
              <w:bottom w:val="single" w:color="auto" w:sz="4" w:space="0"/>
              <w:right w:val="single" w:color="auto" w:sz="4" w:space="0"/>
            </w:tcBorders>
            <w:shd w:val="clear" w:color="auto" w:fill="ADDAB2"/>
            <w:vAlign w:val="center"/>
          </w:tcPr>
          <w:p>
            <w:pPr>
              <w:overflowPunct w:val="0"/>
              <w:autoSpaceDE w:val="0"/>
              <w:adjustRightInd w:val="0"/>
              <w:jc w:val="center"/>
              <w:textAlignment w:val="baseline"/>
              <w:rPr>
                <w:rFonts w:ascii="仿宋_GB2312" w:hAnsi="华文仿宋" w:cs="宋体"/>
                <w:sz w:val="24"/>
                <w:szCs w:val="24"/>
              </w:rPr>
            </w:pPr>
            <w:r>
              <w:rPr>
                <w:rFonts w:hint="eastAsia" w:ascii="仿宋_GB2312" w:hAnsi="华文仿宋"/>
              </w:rPr>
              <w:t>53</w:t>
            </w:r>
          </w:p>
        </w:tc>
        <w:tc>
          <w:tcPr>
            <w:tcW w:w="708" w:type="dxa"/>
            <w:vMerge w:val="continue"/>
            <w:tcBorders>
              <w:top w:val="nil"/>
              <w:left w:val="nil"/>
              <w:bottom w:val="single" w:color="auto" w:sz="4" w:space="0"/>
              <w:right w:val="single" w:color="auto" w:sz="4" w:space="0"/>
            </w:tcBorders>
            <w:shd w:val="clear" w:color="auto" w:fill="B6DDE8"/>
            <w:vAlign w:val="center"/>
          </w:tcPr>
          <w:p>
            <w:pPr>
              <w:rPr>
                <w:rFonts w:ascii="仿宋_GB2312" w:hAnsi="华文仿宋" w:cs="宋体"/>
                <w:sz w:val="24"/>
                <w:szCs w:val="24"/>
              </w:rPr>
            </w:pPr>
          </w:p>
        </w:tc>
        <w:tc>
          <w:tcPr>
            <w:tcW w:w="993" w:type="dxa"/>
            <w:vMerge w:val="continue"/>
            <w:tcBorders>
              <w:top w:val="nil"/>
              <w:left w:val="nil"/>
              <w:bottom w:val="single" w:color="auto" w:sz="4" w:space="0"/>
              <w:right w:val="single" w:color="auto" w:sz="4" w:space="0"/>
            </w:tcBorders>
            <w:shd w:val="clear" w:color="auto" w:fill="B6DDE8"/>
            <w:vAlign w:val="center"/>
          </w:tcPr>
          <w:p>
            <w:pPr>
              <w:rPr>
                <w:rFonts w:ascii="仿宋_GB2312" w:hAnsi="华文仿宋" w:cs="宋体"/>
                <w:sz w:val="24"/>
                <w:szCs w:val="24"/>
              </w:rPr>
            </w:pPr>
          </w:p>
        </w:tc>
        <w:tc>
          <w:tcPr>
            <w:tcW w:w="708" w:type="dxa"/>
            <w:vMerge w:val="continue"/>
            <w:tcBorders>
              <w:top w:val="nil"/>
              <w:left w:val="nil"/>
              <w:bottom w:val="single" w:color="auto" w:sz="4" w:space="0"/>
              <w:right w:val="single" w:color="auto" w:sz="4" w:space="0"/>
            </w:tcBorders>
            <w:shd w:val="clear" w:color="auto" w:fill="B6DDE8"/>
            <w:vAlign w:val="center"/>
          </w:tcPr>
          <w:p>
            <w:pPr>
              <w:rPr>
                <w:rFonts w:ascii="仿宋_GB2312" w:hAnsi="华文仿宋" w:cs="宋体"/>
                <w:sz w:val="24"/>
                <w:szCs w:val="24"/>
              </w:rPr>
            </w:pPr>
          </w:p>
        </w:tc>
        <w:tc>
          <w:tcPr>
            <w:tcW w:w="993" w:type="dxa"/>
            <w:vMerge w:val="continue"/>
            <w:tcBorders>
              <w:top w:val="nil"/>
              <w:left w:val="nil"/>
              <w:bottom w:val="single" w:color="auto" w:sz="4" w:space="0"/>
              <w:right w:val="single" w:color="auto" w:sz="4" w:space="0"/>
            </w:tcBorders>
            <w:shd w:val="clear" w:color="auto" w:fill="B6DDE8"/>
            <w:vAlign w:val="center"/>
          </w:tcPr>
          <w:p>
            <w:pPr>
              <w:rPr>
                <w:rFonts w:ascii="仿宋_GB2312" w:hAnsi="华文仿宋"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vMerge w:val="continue"/>
            <w:tcBorders>
              <w:top w:val="nil"/>
              <w:left w:val="single" w:color="auto" w:sz="4" w:space="0"/>
              <w:bottom w:val="single" w:color="auto" w:sz="4" w:space="0"/>
              <w:right w:val="single" w:color="auto" w:sz="4" w:space="0"/>
            </w:tcBorders>
            <w:shd w:val="clear" w:color="auto" w:fill="B6DDE8"/>
            <w:vAlign w:val="center"/>
          </w:tcPr>
          <w:p>
            <w:pPr>
              <w:rPr>
                <w:rFonts w:ascii="仿宋_GB2312" w:hAnsi="华文仿宋" w:cs="宋体"/>
                <w:sz w:val="24"/>
                <w:szCs w:val="24"/>
              </w:rPr>
            </w:pPr>
          </w:p>
        </w:tc>
        <w:tc>
          <w:tcPr>
            <w:tcW w:w="992" w:type="dxa"/>
            <w:tcBorders>
              <w:top w:val="single" w:color="auto" w:sz="4" w:space="0"/>
              <w:left w:val="nil"/>
              <w:bottom w:val="single" w:color="auto" w:sz="4" w:space="0"/>
              <w:right w:val="single" w:color="auto" w:sz="4" w:space="0"/>
            </w:tcBorders>
            <w:shd w:val="clear" w:color="auto" w:fill="DCD8C2"/>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2019级</w:t>
            </w:r>
          </w:p>
        </w:tc>
        <w:tc>
          <w:tcPr>
            <w:tcW w:w="992" w:type="dxa"/>
            <w:tcBorders>
              <w:top w:val="single" w:color="auto" w:sz="4" w:space="0"/>
              <w:left w:val="nil"/>
              <w:bottom w:val="single" w:color="auto" w:sz="4" w:space="0"/>
              <w:right w:val="single" w:color="auto" w:sz="4" w:space="0"/>
            </w:tcBorders>
            <w:shd w:val="clear" w:color="auto" w:fill="DCD8C2"/>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12</w:t>
            </w:r>
            <w:r>
              <w:rPr>
                <w:rFonts w:hint="eastAsia" w:ascii="仿宋_GB2312" w:hAnsi="华文仿宋"/>
              </w:rPr>
              <w:t>3</w:t>
            </w:r>
          </w:p>
        </w:tc>
        <w:tc>
          <w:tcPr>
            <w:tcW w:w="992" w:type="dxa"/>
            <w:tcBorders>
              <w:top w:val="single" w:color="auto" w:sz="4" w:space="0"/>
              <w:left w:val="nil"/>
              <w:bottom w:val="single" w:color="auto" w:sz="4" w:space="0"/>
              <w:right w:val="single" w:color="auto" w:sz="4" w:space="0"/>
            </w:tcBorders>
            <w:shd w:val="clear" w:color="auto" w:fill="DCD8C2"/>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8</w:t>
            </w:r>
            <w:r>
              <w:rPr>
                <w:rFonts w:hint="eastAsia" w:ascii="仿宋_GB2312" w:hAnsi="华文仿宋"/>
              </w:rPr>
              <w:t>5</w:t>
            </w:r>
          </w:p>
        </w:tc>
        <w:tc>
          <w:tcPr>
            <w:tcW w:w="993" w:type="dxa"/>
            <w:tcBorders>
              <w:top w:val="single" w:color="auto" w:sz="4" w:space="0"/>
              <w:left w:val="nil"/>
              <w:bottom w:val="single" w:color="auto" w:sz="4" w:space="0"/>
              <w:right w:val="single" w:color="auto" w:sz="4" w:space="0"/>
            </w:tcBorders>
            <w:shd w:val="clear" w:color="auto" w:fill="DCD8C2"/>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2</w:t>
            </w:r>
            <w:r>
              <w:rPr>
                <w:rFonts w:hint="eastAsia" w:ascii="仿宋_GB2312" w:hAnsi="华文仿宋"/>
              </w:rPr>
              <w:t>08</w:t>
            </w:r>
          </w:p>
        </w:tc>
        <w:tc>
          <w:tcPr>
            <w:tcW w:w="708" w:type="dxa"/>
            <w:vMerge w:val="continue"/>
            <w:tcBorders>
              <w:top w:val="nil"/>
              <w:left w:val="nil"/>
              <w:bottom w:val="single" w:color="auto" w:sz="4" w:space="0"/>
              <w:right w:val="single" w:color="auto" w:sz="4" w:space="0"/>
            </w:tcBorders>
            <w:shd w:val="clear" w:color="auto" w:fill="B6DDE8"/>
            <w:vAlign w:val="center"/>
          </w:tcPr>
          <w:p>
            <w:pPr>
              <w:rPr>
                <w:rFonts w:ascii="仿宋_GB2312" w:hAnsi="华文仿宋" w:cs="宋体"/>
                <w:sz w:val="24"/>
                <w:szCs w:val="24"/>
              </w:rPr>
            </w:pPr>
          </w:p>
        </w:tc>
        <w:tc>
          <w:tcPr>
            <w:tcW w:w="993" w:type="dxa"/>
            <w:vMerge w:val="continue"/>
            <w:tcBorders>
              <w:top w:val="nil"/>
              <w:left w:val="nil"/>
              <w:bottom w:val="single" w:color="auto" w:sz="4" w:space="0"/>
              <w:right w:val="single" w:color="auto" w:sz="4" w:space="0"/>
            </w:tcBorders>
            <w:shd w:val="clear" w:color="auto" w:fill="B6DDE8"/>
            <w:vAlign w:val="center"/>
          </w:tcPr>
          <w:p>
            <w:pPr>
              <w:rPr>
                <w:rFonts w:ascii="仿宋_GB2312" w:hAnsi="华文仿宋" w:cs="宋体"/>
                <w:sz w:val="24"/>
                <w:szCs w:val="24"/>
              </w:rPr>
            </w:pPr>
          </w:p>
        </w:tc>
        <w:tc>
          <w:tcPr>
            <w:tcW w:w="708" w:type="dxa"/>
            <w:vMerge w:val="continue"/>
            <w:tcBorders>
              <w:top w:val="nil"/>
              <w:left w:val="nil"/>
              <w:bottom w:val="single" w:color="auto" w:sz="4" w:space="0"/>
              <w:right w:val="single" w:color="auto" w:sz="4" w:space="0"/>
            </w:tcBorders>
            <w:shd w:val="clear" w:color="auto" w:fill="B6DDE8"/>
            <w:vAlign w:val="center"/>
          </w:tcPr>
          <w:p>
            <w:pPr>
              <w:rPr>
                <w:rFonts w:ascii="仿宋_GB2312" w:hAnsi="华文仿宋" w:cs="宋体"/>
                <w:sz w:val="24"/>
                <w:szCs w:val="24"/>
              </w:rPr>
            </w:pPr>
          </w:p>
        </w:tc>
        <w:tc>
          <w:tcPr>
            <w:tcW w:w="993" w:type="dxa"/>
            <w:vMerge w:val="continue"/>
            <w:tcBorders>
              <w:top w:val="nil"/>
              <w:left w:val="nil"/>
              <w:bottom w:val="single" w:color="auto" w:sz="4" w:space="0"/>
              <w:right w:val="single" w:color="auto" w:sz="4" w:space="0"/>
            </w:tcBorders>
            <w:shd w:val="clear" w:color="auto" w:fill="B6DDE8"/>
            <w:vAlign w:val="center"/>
          </w:tcPr>
          <w:p>
            <w:pPr>
              <w:rPr>
                <w:rFonts w:ascii="仿宋_GB2312" w:hAnsi="华文仿宋"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101" w:type="dxa"/>
            <w:vMerge w:val="continue"/>
            <w:tcBorders>
              <w:top w:val="nil"/>
              <w:left w:val="single" w:color="auto" w:sz="4" w:space="0"/>
              <w:bottom w:val="single" w:color="auto" w:sz="4" w:space="0"/>
              <w:right w:val="single" w:color="auto" w:sz="4" w:space="0"/>
            </w:tcBorders>
            <w:shd w:val="clear" w:color="auto" w:fill="B6DDE8"/>
            <w:vAlign w:val="center"/>
          </w:tcPr>
          <w:p>
            <w:pPr>
              <w:rPr>
                <w:rFonts w:ascii="仿宋_GB2312" w:hAnsi="华文仿宋" w:cs="宋体"/>
                <w:sz w:val="24"/>
                <w:szCs w:val="24"/>
              </w:rPr>
            </w:pPr>
          </w:p>
        </w:tc>
        <w:tc>
          <w:tcPr>
            <w:tcW w:w="992" w:type="dxa"/>
            <w:tcBorders>
              <w:top w:val="single" w:color="auto" w:sz="4" w:space="0"/>
              <w:left w:val="nil"/>
              <w:bottom w:val="single" w:color="auto" w:sz="4" w:space="0"/>
              <w:right w:val="single" w:color="auto" w:sz="4" w:space="0"/>
            </w:tcBorders>
            <w:shd w:val="clear" w:color="auto" w:fill="B6DDE8"/>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2020级</w:t>
            </w:r>
          </w:p>
        </w:tc>
        <w:tc>
          <w:tcPr>
            <w:tcW w:w="992" w:type="dxa"/>
            <w:tcBorders>
              <w:top w:val="single" w:color="auto" w:sz="4" w:space="0"/>
              <w:left w:val="nil"/>
              <w:bottom w:val="single" w:color="auto" w:sz="4" w:space="0"/>
              <w:right w:val="single" w:color="auto" w:sz="4" w:space="0"/>
            </w:tcBorders>
            <w:shd w:val="clear" w:color="auto" w:fill="B6DDE8"/>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14</w:t>
            </w:r>
            <w:r>
              <w:rPr>
                <w:rFonts w:hint="eastAsia" w:ascii="仿宋_GB2312" w:hAnsi="华文仿宋"/>
              </w:rPr>
              <w:t>3</w:t>
            </w:r>
          </w:p>
        </w:tc>
        <w:tc>
          <w:tcPr>
            <w:tcW w:w="992" w:type="dxa"/>
            <w:tcBorders>
              <w:top w:val="single" w:color="auto" w:sz="4" w:space="0"/>
              <w:left w:val="nil"/>
              <w:bottom w:val="single" w:color="auto" w:sz="4" w:space="0"/>
              <w:right w:val="single" w:color="auto" w:sz="4" w:space="0"/>
            </w:tcBorders>
            <w:shd w:val="clear" w:color="auto" w:fill="B6DDE8"/>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6</w:t>
            </w:r>
            <w:r>
              <w:rPr>
                <w:rFonts w:hint="eastAsia" w:ascii="仿宋_GB2312" w:hAnsi="华文仿宋"/>
              </w:rPr>
              <w:t>2</w:t>
            </w:r>
          </w:p>
        </w:tc>
        <w:tc>
          <w:tcPr>
            <w:tcW w:w="993" w:type="dxa"/>
            <w:tcBorders>
              <w:top w:val="single" w:color="auto" w:sz="4" w:space="0"/>
              <w:left w:val="nil"/>
              <w:bottom w:val="single" w:color="auto" w:sz="4" w:space="0"/>
              <w:right w:val="single" w:color="auto" w:sz="4" w:space="0"/>
            </w:tcBorders>
            <w:shd w:val="clear" w:color="auto" w:fill="B6DDE8"/>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2</w:t>
            </w:r>
            <w:r>
              <w:rPr>
                <w:rFonts w:hint="eastAsia" w:ascii="仿宋_GB2312" w:hAnsi="华文仿宋"/>
              </w:rPr>
              <w:t>05</w:t>
            </w:r>
          </w:p>
        </w:tc>
        <w:tc>
          <w:tcPr>
            <w:tcW w:w="708" w:type="dxa"/>
            <w:vMerge w:val="continue"/>
            <w:tcBorders>
              <w:top w:val="nil"/>
              <w:left w:val="nil"/>
              <w:bottom w:val="single" w:color="auto" w:sz="4" w:space="0"/>
              <w:right w:val="single" w:color="auto" w:sz="4" w:space="0"/>
            </w:tcBorders>
            <w:shd w:val="clear" w:color="auto" w:fill="B6DDE8"/>
            <w:vAlign w:val="center"/>
          </w:tcPr>
          <w:p>
            <w:pPr>
              <w:rPr>
                <w:rFonts w:ascii="仿宋_GB2312" w:hAnsi="华文仿宋" w:cs="宋体"/>
                <w:sz w:val="24"/>
                <w:szCs w:val="24"/>
              </w:rPr>
            </w:pPr>
          </w:p>
        </w:tc>
        <w:tc>
          <w:tcPr>
            <w:tcW w:w="993" w:type="dxa"/>
            <w:vMerge w:val="continue"/>
            <w:tcBorders>
              <w:top w:val="nil"/>
              <w:left w:val="nil"/>
              <w:bottom w:val="single" w:color="auto" w:sz="4" w:space="0"/>
              <w:right w:val="single" w:color="auto" w:sz="4" w:space="0"/>
            </w:tcBorders>
            <w:shd w:val="clear" w:color="auto" w:fill="B6DDE8"/>
            <w:vAlign w:val="center"/>
          </w:tcPr>
          <w:p>
            <w:pPr>
              <w:rPr>
                <w:rFonts w:ascii="仿宋_GB2312" w:hAnsi="华文仿宋" w:cs="宋体"/>
                <w:sz w:val="24"/>
                <w:szCs w:val="24"/>
              </w:rPr>
            </w:pPr>
          </w:p>
        </w:tc>
        <w:tc>
          <w:tcPr>
            <w:tcW w:w="708" w:type="dxa"/>
            <w:vMerge w:val="continue"/>
            <w:tcBorders>
              <w:top w:val="nil"/>
              <w:left w:val="nil"/>
              <w:bottom w:val="single" w:color="auto" w:sz="4" w:space="0"/>
              <w:right w:val="single" w:color="auto" w:sz="4" w:space="0"/>
            </w:tcBorders>
            <w:shd w:val="clear" w:color="auto" w:fill="B6DDE8"/>
            <w:vAlign w:val="center"/>
          </w:tcPr>
          <w:p>
            <w:pPr>
              <w:rPr>
                <w:rFonts w:ascii="仿宋_GB2312" w:hAnsi="华文仿宋" w:cs="宋体"/>
                <w:sz w:val="24"/>
                <w:szCs w:val="24"/>
              </w:rPr>
            </w:pPr>
          </w:p>
        </w:tc>
        <w:tc>
          <w:tcPr>
            <w:tcW w:w="993" w:type="dxa"/>
            <w:vMerge w:val="continue"/>
            <w:tcBorders>
              <w:top w:val="nil"/>
              <w:left w:val="nil"/>
              <w:bottom w:val="single" w:color="auto" w:sz="4" w:space="0"/>
              <w:right w:val="single" w:color="auto" w:sz="4" w:space="0"/>
            </w:tcBorders>
            <w:shd w:val="clear" w:color="auto" w:fill="B6DDE8"/>
            <w:vAlign w:val="center"/>
          </w:tcPr>
          <w:p>
            <w:pPr>
              <w:rPr>
                <w:rFonts w:ascii="仿宋_GB2312" w:hAnsi="华文仿宋"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101" w:type="dxa"/>
            <w:vMerge w:val="continue"/>
            <w:tcBorders>
              <w:top w:val="nil"/>
              <w:left w:val="single" w:color="auto" w:sz="4" w:space="0"/>
              <w:bottom w:val="single" w:color="auto" w:sz="4" w:space="0"/>
              <w:right w:val="single" w:color="auto" w:sz="4" w:space="0"/>
            </w:tcBorders>
            <w:shd w:val="clear" w:color="auto" w:fill="B6DDE8"/>
            <w:vAlign w:val="center"/>
          </w:tcPr>
          <w:p>
            <w:pPr>
              <w:rPr>
                <w:rFonts w:ascii="仿宋_GB2312" w:hAnsi="华文仿宋" w:cs="宋体"/>
                <w:sz w:val="24"/>
                <w:szCs w:val="24"/>
              </w:rPr>
            </w:pPr>
          </w:p>
        </w:tc>
        <w:tc>
          <w:tcPr>
            <w:tcW w:w="992" w:type="dxa"/>
            <w:tcBorders>
              <w:top w:val="single" w:color="auto" w:sz="4" w:space="0"/>
              <w:left w:val="nil"/>
              <w:bottom w:val="single" w:color="auto" w:sz="4" w:space="0"/>
              <w:right w:val="single" w:color="auto" w:sz="4" w:space="0"/>
            </w:tcBorders>
            <w:shd w:val="clear" w:color="auto" w:fill="B6DDE8"/>
            <w:vAlign w:val="center"/>
          </w:tcPr>
          <w:p>
            <w:pPr>
              <w:overflowPunct w:val="0"/>
              <w:autoSpaceDE w:val="0"/>
              <w:adjustRightInd w:val="0"/>
              <w:jc w:val="center"/>
              <w:textAlignment w:val="baseline"/>
              <w:rPr>
                <w:rFonts w:ascii="仿宋_GB2312" w:hAnsi="华文仿宋" w:cs="宋体"/>
                <w:sz w:val="24"/>
                <w:szCs w:val="24"/>
              </w:rPr>
            </w:pPr>
            <w:r>
              <w:rPr>
                <w:rFonts w:ascii="仿宋_GB2312" w:hAnsi="华文仿宋"/>
              </w:rPr>
              <w:t>202</w:t>
            </w:r>
            <w:r>
              <w:rPr>
                <w:rFonts w:hint="eastAsia" w:ascii="仿宋_GB2312" w:hAnsi="华文仿宋"/>
              </w:rPr>
              <w:t>1</w:t>
            </w:r>
            <w:r>
              <w:rPr>
                <w:rFonts w:ascii="仿宋_GB2312" w:hAnsi="华文仿宋"/>
              </w:rPr>
              <w:t>级</w:t>
            </w:r>
          </w:p>
        </w:tc>
        <w:tc>
          <w:tcPr>
            <w:tcW w:w="992" w:type="dxa"/>
            <w:tcBorders>
              <w:top w:val="single" w:color="auto" w:sz="4" w:space="0"/>
              <w:left w:val="nil"/>
              <w:bottom w:val="single" w:color="auto" w:sz="4" w:space="0"/>
              <w:right w:val="single" w:color="auto" w:sz="4" w:space="0"/>
            </w:tcBorders>
            <w:shd w:val="clear" w:color="auto" w:fill="B6DDE8"/>
            <w:vAlign w:val="center"/>
          </w:tcPr>
          <w:p>
            <w:pPr>
              <w:overflowPunct w:val="0"/>
              <w:autoSpaceDE w:val="0"/>
              <w:adjustRightInd w:val="0"/>
              <w:jc w:val="center"/>
              <w:textAlignment w:val="baseline"/>
              <w:rPr>
                <w:rFonts w:ascii="仿宋_GB2312" w:hAnsi="华文仿宋" w:cs="宋体"/>
                <w:sz w:val="24"/>
                <w:szCs w:val="24"/>
              </w:rPr>
            </w:pPr>
            <w:r>
              <w:rPr>
                <w:rFonts w:hint="eastAsia" w:ascii="仿宋_GB2312" w:hAnsi="华文仿宋"/>
              </w:rPr>
              <w:t>161</w:t>
            </w:r>
          </w:p>
        </w:tc>
        <w:tc>
          <w:tcPr>
            <w:tcW w:w="992" w:type="dxa"/>
            <w:tcBorders>
              <w:top w:val="single" w:color="auto" w:sz="4" w:space="0"/>
              <w:left w:val="nil"/>
              <w:bottom w:val="single" w:color="auto" w:sz="4" w:space="0"/>
              <w:right w:val="single" w:color="auto" w:sz="4" w:space="0"/>
            </w:tcBorders>
            <w:shd w:val="clear" w:color="auto" w:fill="B6DDE8"/>
            <w:vAlign w:val="center"/>
          </w:tcPr>
          <w:p>
            <w:pPr>
              <w:overflowPunct w:val="0"/>
              <w:autoSpaceDE w:val="0"/>
              <w:adjustRightInd w:val="0"/>
              <w:jc w:val="center"/>
              <w:textAlignment w:val="baseline"/>
              <w:rPr>
                <w:rFonts w:ascii="仿宋_GB2312" w:hAnsi="华文仿宋" w:cs="宋体"/>
                <w:sz w:val="24"/>
                <w:szCs w:val="24"/>
              </w:rPr>
            </w:pPr>
            <w:r>
              <w:rPr>
                <w:rFonts w:hint="eastAsia" w:ascii="仿宋_GB2312" w:hAnsi="华文仿宋"/>
              </w:rPr>
              <w:t>72</w:t>
            </w:r>
          </w:p>
        </w:tc>
        <w:tc>
          <w:tcPr>
            <w:tcW w:w="993" w:type="dxa"/>
            <w:tcBorders>
              <w:top w:val="single" w:color="auto" w:sz="4" w:space="0"/>
              <w:left w:val="nil"/>
              <w:bottom w:val="single" w:color="auto" w:sz="4" w:space="0"/>
              <w:right w:val="single" w:color="auto" w:sz="4" w:space="0"/>
            </w:tcBorders>
            <w:shd w:val="clear" w:color="auto" w:fill="B6DDE8"/>
            <w:vAlign w:val="center"/>
          </w:tcPr>
          <w:p>
            <w:pPr>
              <w:overflowPunct w:val="0"/>
              <w:autoSpaceDE w:val="0"/>
              <w:adjustRightInd w:val="0"/>
              <w:jc w:val="center"/>
              <w:textAlignment w:val="baseline"/>
              <w:rPr>
                <w:rFonts w:ascii="仿宋_GB2312" w:hAnsi="华文仿宋" w:cs="宋体"/>
                <w:sz w:val="24"/>
                <w:szCs w:val="24"/>
              </w:rPr>
            </w:pPr>
            <w:r>
              <w:rPr>
                <w:rFonts w:hint="eastAsia" w:ascii="仿宋_GB2312" w:hAnsi="华文仿宋"/>
              </w:rPr>
              <w:t>233</w:t>
            </w:r>
          </w:p>
        </w:tc>
        <w:tc>
          <w:tcPr>
            <w:tcW w:w="708" w:type="dxa"/>
            <w:vMerge w:val="continue"/>
            <w:tcBorders>
              <w:top w:val="nil"/>
              <w:left w:val="nil"/>
              <w:bottom w:val="single" w:color="auto" w:sz="4" w:space="0"/>
              <w:right w:val="single" w:color="auto" w:sz="4" w:space="0"/>
            </w:tcBorders>
            <w:shd w:val="clear" w:color="auto" w:fill="B6DDE8"/>
            <w:vAlign w:val="center"/>
          </w:tcPr>
          <w:p>
            <w:pPr>
              <w:rPr>
                <w:rFonts w:ascii="仿宋_GB2312" w:hAnsi="华文仿宋" w:cs="宋体"/>
                <w:sz w:val="24"/>
                <w:szCs w:val="24"/>
              </w:rPr>
            </w:pPr>
          </w:p>
        </w:tc>
        <w:tc>
          <w:tcPr>
            <w:tcW w:w="993" w:type="dxa"/>
            <w:vMerge w:val="continue"/>
            <w:tcBorders>
              <w:top w:val="nil"/>
              <w:left w:val="nil"/>
              <w:bottom w:val="single" w:color="auto" w:sz="4" w:space="0"/>
              <w:right w:val="single" w:color="auto" w:sz="4" w:space="0"/>
            </w:tcBorders>
            <w:shd w:val="clear" w:color="auto" w:fill="B6DDE8"/>
            <w:vAlign w:val="center"/>
          </w:tcPr>
          <w:p>
            <w:pPr>
              <w:rPr>
                <w:rFonts w:ascii="仿宋_GB2312" w:hAnsi="华文仿宋" w:cs="宋体"/>
                <w:sz w:val="24"/>
                <w:szCs w:val="24"/>
              </w:rPr>
            </w:pPr>
          </w:p>
        </w:tc>
        <w:tc>
          <w:tcPr>
            <w:tcW w:w="708" w:type="dxa"/>
            <w:vMerge w:val="continue"/>
            <w:tcBorders>
              <w:top w:val="nil"/>
              <w:left w:val="nil"/>
              <w:bottom w:val="single" w:color="auto" w:sz="4" w:space="0"/>
              <w:right w:val="single" w:color="auto" w:sz="4" w:space="0"/>
            </w:tcBorders>
            <w:shd w:val="clear" w:color="auto" w:fill="B6DDE8"/>
            <w:vAlign w:val="center"/>
          </w:tcPr>
          <w:p>
            <w:pPr>
              <w:rPr>
                <w:rFonts w:ascii="仿宋_GB2312" w:hAnsi="华文仿宋" w:cs="宋体"/>
                <w:sz w:val="24"/>
                <w:szCs w:val="24"/>
              </w:rPr>
            </w:pPr>
          </w:p>
        </w:tc>
        <w:tc>
          <w:tcPr>
            <w:tcW w:w="993" w:type="dxa"/>
            <w:vMerge w:val="continue"/>
            <w:tcBorders>
              <w:top w:val="nil"/>
              <w:left w:val="nil"/>
              <w:bottom w:val="single" w:color="auto" w:sz="4" w:space="0"/>
              <w:right w:val="single" w:color="auto" w:sz="4" w:space="0"/>
            </w:tcBorders>
            <w:shd w:val="clear" w:color="auto" w:fill="B6DDE8"/>
            <w:vAlign w:val="center"/>
          </w:tcPr>
          <w:p>
            <w:pPr>
              <w:rPr>
                <w:rFonts w:ascii="仿宋_GB2312" w:hAnsi="华文仿宋" w:cs="宋体"/>
                <w:sz w:val="24"/>
                <w:szCs w:val="24"/>
              </w:rPr>
            </w:pPr>
          </w:p>
        </w:tc>
      </w:tr>
    </w:tbl>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1"/>
        <w:rPr>
          <w:rFonts w:hint="eastAsia" w:ascii="仿宋_GB2312" w:hAnsi="Times New Roman" w:eastAsia="仿宋_GB2312" w:cs="Times New Roman"/>
          <w:b/>
          <w:bCs/>
          <w:kern w:val="2"/>
          <w:sz w:val="28"/>
          <w:szCs w:val="28"/>
          <w:lang w:val="en-US" w:eastAsia="zh-CN" w:bidi="ar-SA"/>
        </w:rPr>
      </w:pPr>
      <w:bookmarkStart w:id="31" w:name="_Toc7096"/>
      <w:bookmarkStart w:id="32" w:name="_Toc26625"/>
      <w:r>
        <w:rPr>
          <w:rFonts w:hint="eastAsia" w:ascii="仿宋_GB2312" w:hAnsi="Times New Roman" w:eastAsia="仿宋_GB2312" w:cs="Times New Roman"/>
          <w:b/>
          <w:bCs/>
          <w:kern w:val="2"/>
          <w:sz w:val="28"/>
          <w:szCs w:val="28"/>
          <w:lang w:val="en-US" w:eastAsia="zh-CN" w:bidi="ar-SA"/>
        </w:rPr>
        <w:t>2.2就业质量</w:t>
      </w:r>
      <w:bookmarkEnd w:id="31"/>
      <w:bookmarkEnd w:id="32"/>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2"/>
        <w:rPr>
          <w:rFonts w:hint="eastAsia" w:ascii="仿宋_GB2312" w:hAnsi="Times New Roman" w:eastAsia="仿宋_GB2312" w:cs="Times New Roman"/>
          <w:b/>
          <w:bCs/>
          <w:kern w:val="2"/>
          <w:sz w:val="28"/>
          <w:szCs w:val="28"/>
          <w:lang w:val="en-US" w:eastAsia="zh-CN" w:bidi="ar-SA"/>
        </w:rPr>
      </w:pPr>
      <w:bookmarkStart w:id="33" w:name="_Toc22596"/>
      <w:bookmarkStart w:id="34" w:name="_Toc17480"/>
      <w:r>
        <w:rPr>
          <w:rFonts w:hint="eastAsia" w:ascii="仿宋_GB2312" w:hAnsi="Times New Roman" w:eastAsia="仿宋_GB2312" w:cs="Times New Roman"/>
          <w:b/>
          <w:bCs/>
          <w:kern w:val="2"/>
          <w:sz w:val="28"/>
          <w:szCs w:val="28"/>
          <w:lang w:val="en-US" w:eastAsia="zh-CN" w:bidi="ar-SA"/>
        </w:rPr>
        <w:t>2.2.1就业率</w:t>
      </w:r>
      <w:bookmarkEnd w:id="33"/>
      <w:bookmarkEnd w:id="34"/>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sz w:val="28"/>
          <w:szCs w:val="28"/>
          <w:lang w:eastAsia="zh-CN"/>
        </w:rPr>
      </w:pPr>
      <w:r>
        <w:rPr>
          <w:rFonts w:hint="eastAsia" w:ascii="仿宋_GB2312" w:hAnsi="Times New Roman" w:eastAsia="仿宋_GB2312"/>
          <w:sz w:val="28"/>
          <w:szCs w:val="28"/>
          <w:lang w:eastAsia="zh-CN"/>
        </w:rPr>
        <w:t>学校只开设 “运动训练”一个专业。2021年毕业学生157人，其中当年升入高等教育学校48人，</w:t>
      </w:r>
      <w:bookmarkStart w:id="35" w:name="_Hlk514138093"/>
      <w:r>
        <w:rPr>
          <w:rFonts w:hint="eastAsia" w:ascii="仿宋_GB2312" w:hAnsi="Times New Roman" w:eastAsia="仿宋_GB2312"/>
          <w:sz w:val="28"/>
          <w:szCs w:val="28"/>
          <w:lang w:eastAsia="zh-CN"/>
        </w:rPr>
        <w:t>占毕业生比例30.57%</w:t>
      </w:r>
      <w:bookmarkEnd w:id="35"/>
      <w:r>
        <w:rPr>
          <w:rFonts w:hint="eastAsia" w:ascii="仿宋_GB2312" w:hAnsi="Times New Roman" w:eastAsia="仿宋_GB2312"/>
          <w:sz w:val="28"/>
          <w:szCs w:val="28"/>
          <w:lang w:eastAsia="zh-CN"/>
        </w:rPr>
        <w:t>；进入省专业队12人，占毕业生比例7.64%；入伍5人，占毕业生比例3.18%；从事健身教练和个体81人，占毕业生比例51.59%。就业（含升学）总人数</w:t>
      </w:r>
      <w:r>
        <w:rPr>
          <w:rFonts w:hint="eastAsia" w:ascii="仿宋_GB2312" w:hAnsi="Times New Roman" w:eastAsia="仿宋_GB2312"/>
          <w:sz w:val="28"/>
          <w:szCs w:val="28"/>
          <w:lang w:val="en-US" w:eastAsia="zh-CN"/>
        </w:rPr>
        <w:t>146人，</w:t>
      </w:r>
      <w:r>
        <w:rPr>
          <w:rFonts w:hint="eastAsia" w:ascii="仿宋_GB2312" w:hAnsi="Times New Roman" w:eastAsia="仿宋_GB2312"/>
          <w:sz w:val="28"/>
          <w:szCs w:val="28"/>
          <w:lang w:eastAsia="zh-CN"/>
        </w:rPr>
        <w:t>当年就业率达93.00%。</w:t>
      </w:r>
    </w:p>
    <w:p>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rFonts w:hint="eastAsia" w:ascii="仿宋_GB2312" w:hAnsi="Times New Roman" w:eastAsia="仿宋_GB2312" w:cs="Times New Roman"/>
          <w:b/>
          <w:bCs/>
          <w:kern w:val="2"/>
          <w:sz w:val="28"/>
          <w:szCs w:val="28"/>
          <w:lang w:val="en-US" w:eastAsia="zh-CN" w:bidi="ar-SA"/>
        </w:rPr>
      </w:pPr>
      <w:r>
        <w:rPr>
          <w:rFonts w:hint="eastAsia" w:ascii="仿宋_GB2312" w:hAnsi="Times New Roman" w:eastAsia="仿宋_GB2312" w:cs="Times New Roman"/>
          <w:b/>
          <w:bCs/>
          <w:kern w:val="2"/>
          <w:sz w:val="28"/>
          <w:szCs w:val="28"/>
          <w:lang w:val="en-US" w:eastAsia="zh-CN" w:bidi="ar-SA"/>
        </w:rPr>
        <w:t>2020级和2021级毕业生就业情况统计表</w:t>
      </w:r>
    </w:p>
    <w:tbl>
      <w:tblPr>
        <w:tblStyle w:val="14"/>
        <w:tblW w:w="8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939"/>
        <w:gridCol w:w="1135"/>
        <w:gridCol w:w="1037"/>
        <w:gridCol w:w="933"/>
        <w:gridCol w:w="1305"/>
        <w:gridCol w:w="873"/>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7" w:type="dxa"/>
            <w:shd w:val="clear" w:color="auto" w:fill="C7DAF1"/>
            <w:vAlign w:val="center"/>
          </w:tcPr>
          <w:p>
            <w:pPr>
              <w:jc w:val="center"/>
              <w:rPr>
                <w:rFonts w:ascii="仿宋" w:hAnsi="仿宋" w:eastAsia="仿宋" w:cs="仿宋"/>
              </w:rPr>
            </w:pPr>
            <w:r>
              <w:rPr>
                <w:rFonts w:hint="eastAsia" w:ascii="仿宋" w:hAnsi="仿宋" w:eastAsia="仿宋" w:cs="仿宋"/>
              </w:rPr>
              <w:t>年度</w:t>
            </w:r>
          </w:p>
        </w:tc>
        <w:tc>
          <w:tcPr>
            <w:tcW w:w="939" w:type="dxa"/>
            <w:shd w:val="clear" w:color="auto" w:fill="C7DAF1"/>
            <w:vAlign w:val="center"/>
          </w:tcPr>
          <w:p>
            <w:pPr>
              <w:jc w:val="center"/>
              <w:rPr>
                <w:rFonts w:ascii="仿宋" w:hAnsi="仿宋" w:eastAsia="仿宋" w:cs="仿宋"/>
              </w:rPr>
            </w:pPr>
            <w:r>
              <w:rPr>
                <w:rFonts w:hint="eastAsia" w:ascii="仿宋" w:hAnsi="仿宋" w:eastAsia="仿宋" w:cs="仿宋"/>
              </w:rPr>
              <w:t>毕业生人数</w:t>
            </w:r>
          </w:p>
        </w:tc>
        <w:tc>
          <w:tcPr>
            <w:tcW w:w="1135" w:type="dxa"/>
            <w:shd w:val="clear" w:color="auto" w:fill="C7DAF1"/>
            <w:vAlign w:val="center"/>
          </w:tcPr>
          <w:p>
            <w:pPr>
              <w:jc w:val="center"/>
              <w:rPr>
                <w:rFonts w:ascii="仿宋" w:hAnsi="仿宋" w:eastAsia="仿宋" w:cs="仿宋"/>
              </w:rPr>
            </w:pPr>
            <w:r>
              <w:rPr>
                <w:rFonts w:hint="eastAsia" w:ascii="仿宋" w:hAnsi="仿宋" w:eastAsia="仿宋" w:cs="仿宋"/>
              </w:rPr>
              <w:t>升入高等教育学校</w:t>
            </w:r>
          </w:p>
        </w:tc>
        <w:tc>
          <w:tcPr>
            <w:tcW w:w="1037" w:type="dxa"/>
            <w:shd w:val="clear" w:color="auto" w:fill="C7DAF1"/>
            <w:vAlign w:val="center"/>
          </w:tcPr>
          <w:p>
            <w:pPr>
              <w:jc w:val="center"/>
              <w:rPr>
                <w:rFonts w:ascii="仿宋" w:hAnsi="仿宋" w:eastAsia="仿宋" w:cs="仿宋"/>
              </w:rPr>
            </w:pPr>
            <w:r>
              <w:rPr>
                <w:rFonts w:hint="eastAsia" w:ascii="仿宋" w:hAnsi="仿宋" w:eastAsia="仿宋" w:cs="仿宋"/>
              </w:rPr>
              <w:t>进入省专业队</w:t>
            </w:r>
          </w:p>
        </w:tc>
        <w:tc>
          <w:tcPr>
            <w:tcW w:w="933" w:type="dxa"/>
            <w:shd w:val="clear" w:color="auto" w:fill="C7DAF1"/>
            <w:vAlign w:val="center"/>
          </w:tcPr>
          <w:p>
            <w:pPr>
              <w:jc w:val="center"/>
              <w:rPr>
                <w:rFonts w:ascii="仿宋" w:hAnsi="仿宋" w:eastAsia="仿宋" w:cs="仿宋"/>
              </w:rPr>
            </w:pPr>
            <w:r>
              <w:rPr>
                <w:rFonts w:hint="eastAsia" w:ascii="仿宋" w:hAnsi="仿宋" w:eastAsia="仿宋" w:cs="仿宋"/>
              </w:rPr>
              <w:t>入伍</w:t>
            </w:r>
          </w:p>
        </w:tc>
        <w:tc>
          <w:tcPr>
            <w:tcW w:w="1305" w:type="dxa"/>
            <w:shd w:val="clear" w:color="auto" w:fill="C7DAF1"/>
            <w:vAlign w:val="center"/>
          </w:tcPr>
          <w:p>
            <w:pPr>
              <w:jc w:val="center"/>
              <w:rPr>
                <w:rFonts w:ascii="仿宋" w:hAnsi="仿宋" w:eastAsia="仿宋" w:cs="仿宋"/>
              </w:rPr>
            </w:pPr>
            <w:r>
              <w:rPr>
                <w:rFonts w:hint="eastAsia" w:ascii="仿宋" w:hAnsi="仿宋" w:eastAsia="仿宋" w:cs="仿宋"/>
              </w:rPr>
              <w:t>从事健身教练和个体</w:t>
            </w:r>
          </w:p>
        </w:tc>
        <w:tc>
          <w:tcPr>
            <w:tcW w:w="873" w:type="dxa"/>
            <w:shd w:val="clear" w:color="auto" w:fill="C7DAF1"/>
            <w:vAlign w:val="center"/>
          </w:tcPr>
          <w:p>
            <w:pPr>
              <w:jc w:val="center"/>
              <w:rPr>
                <w:rFonts w:ascii="仿宋" w:hAnsi="仿宋" w:eastAsia="仿宋" w:cs="仿宋"/>
              </w:rPr>
            </w:pPr>
            <w:r>
              <w:rPr>
                <w:rFonts w:hint="eastAsia" w:ascii="仿宋" w:hAnsi="仿宋" w:eastAsia="仿宋" w:cs="仿宋"/>
              </w:rPr>
              <w:t>总计</w:t>
            </w:r>
          </w:p>
        </w:tc>
        <w:tc>
          <w:tcPr>
            <w:tcW w:w="1056" w:type="dxa"/>
            <w:shd w:val="clear" w:color="auto" w:fill="C7DAF1"/>
            <w:vAlign w:val="center"/>
          </w:tcPr>
          <w:p>
            <w:pPr>
              <w:jc w:val="center"/>
              <w:rPr>
                <w:rFonts w:ascii="仿宋" w:hAnsi="仿宋" w:eastAsia="仿宋" w:cs="仿宋"/>
              </w:rPr>
            </w:pPr>
            <w:r>
              <w:rPr>
                <w:rFonts w:hint="eastAsia" w:ascii="仿宋" w:hAnsi="仿宋" w:eastAsia="仿宋" w:cs="仿宋"/>
              </w:rPr>
              <w:t>就业率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7" w:type="dxa"/>
            <w:shd w:val="clear" w:color="auto" w:fill="FDEADA"/>
          </w:tcPr>
          <w:p>
            <w:pPr>
              <w:jc w:val="center"/>
              <w:rPr>
                <w:rFonts w:ascii="仿宋" w:hAnsi="仿宋" w:eastAsia="仿宋" w:cs="仿宋"/>
              </w:rPr>
            </w:pPr>
            <w:r>
              <w:rPr>
                <w:rFonts w:hint="eastAsia" w:ascii="仿宋" w:hAnsi="仿宋" w:eastAsia="仿宋" w:cs="仿宋"/>
              </w:rPr>
              <w:t>2020</w:t>
            </w:r>
          </w:p>
        </w:tc>
        <w:tc>
          <w:tcPr>
            <w:tcW w:w="939" w:type="dxa"/>
            <w:shd w:val="clear" w:color="auto" w:fill="FDEADA"/>
          </w:tcPr>
          <w:p>
            <w:pPr>
              <w:jc w:val="center"/>
              <w:rPr>
                <w:rFonts w:ascii="仿宋" w:hAnsi="仿宋" w:eastAsia="仿宋" w:cs="仿宋"/>
              </w:rPr>
            </w:pPr>
            <w:r>
              <w:rPr>
                <w:rFonts w:hint="eastAsia" w:ascii="仿宋" w:hAnsi="仿宋" w:eastAsia="仿宋" w:cs="仿宋"/>
              </w:rPr>
              <w:t>136</w:t>
            </w:r>
          </w:p>
        </w:tc>
        <w:tc>
          <w:tcPr>
            <w:tcW w:w="1135" w:type="dxa"/>
            <w:shd w:val="clear" w:color="auto" w:fill="FDEADA"/>
          </w:tcPr>
          <w:p>
            <w:pPr>
              <w:jc w:val="center"/>
              <w:rPr>
                <w:rFonts w:ascii="仿宋" w:hAnsi="仿宋" w:eastAsia="仿宋" w:cs="仿宋"/>
              </w:rPr>
            </w:pPr>
            <w:r>
              <w:rPr>
                <w:rFonts w:hint="eastAsia" w:ascii="仿宋" w:hAnsi="仿宋" w:eastAsia="仿宋" w:cs="仿宋"/>
              </w:rPr>
              <w:t>45</w:t>
            </w:r>
          </w:p>
        </w:tc>
        <w:tc>
          <w:tcPr>
            <w:tcW w:w="1037" w:type="dxa"/>
            <w:shd w:val="clear" w:color="auto" w:fill="FDEADA"/>
          </w:tcPr>
          <w:p>
            <w:pPr>
              <w:jc w:val="center"/>
              <w:rPr>
                <w:rFonts w:ascii="仿宋" w:hAnsi="仿宋" w:eastAsia="仿宋" w:cs="仿宋"/>
              </w:rPr>
            </w:pPr>
            <w:r>
              <w:rPr>
                <w:rFonts w:hint="eastAsia" w:ascii="仿宋" w:hAnsi="仿宋" w:eastAsia="仿宋" w:cs="仿宋"/>
              </w:rPr>
              <w:t>11</w:t>
            </w:r>
          </w:p>
        </w:tc>
        <w:tc>
          <w:tcPr>
            <w:tcW w:w="933" w:type="dxa"/>
            <w:shd w:val="clear" w:color="auto" w:fill="FDEADA"/>
          </w:tcPr>
          <w:p>
            <w:pPr>
              <w:jc w:val="center"/>
              <w:rPr>
                <w:rFonts w:ascii="仿宋" w:hAnsi="仿宋" w:eastAsia="仿宋" w:cs="仿宋"/>
              </w:rPr>
            </w:pPr>
            <w:r>
              <w:rPr>
                <w:rFonts w:hint="eastAsia" w:ascii="仿宋" w:hAnsi="仿宋" w:eastAsia="仿宋" w:cs="仿宋"/>
              </w:rPr>
              <w:t>7</w:t>
            </w:r>
          </w:p>
        </w:tc>
        <w:tc>
          <w:tcPr>
            <w:tcW w:w="1305" w:type="dxa"/>
            <w:shd w:val="clear" w:color="auto" w:fill="FDEADA"/>
          </w:tcPr>
          <w:p>
            <w:pPr>
              <w:jc w:val="center"/>
              <w:rPr>
                <w:rFonts w:ascii="仿宋" w:hAnsi="仿宋" w:eastAsia="仿宋" w:cs="仿宋"/>
              </w:rPr>
            </w:pPr>
            <w:r>
              <w:rPr>
                <w:rFonts w:hint="eastAsia" w:ascii="仿宋" w:hAnsi="仿宋" w:eastAsia="仿宋" w:cs="仿宋"/>
              </w:rPr>
              <w:t>60</w:t>
            </w:r>
          </w:p>
        </w:tc>
        <w:tc>
          <w:tcPr>
            <w:tcW w:w="873" w:type="dxa"/>
            <w:shd w:val="clear" w:color="auto" w:fill="FDEADA"/>
          </w:tcPr>
          <w:p>
            <w:pPr>
              <w:jc w:val="center"/>
              <w:rPr>
                <w:rFonts w:ascii="仿宋" w:hAnsi="仿宋" w:eastAsia="仿宋" w:cs="仿宋"/>
              </w:rPr>
            </w:pPr>
            <w:r>
              <w:rPr>
                <w:rFonts w:hint="eastAsia" w:ascii="仿宋" w:hAnsi="仿宋" w:eastAsia="仿宋" w:cs="仿宋"/>
              </w:rPr>
              <w:t>123</w:t>
            </w:r>
          </w:p>
        </w:tc>
        <w:tc>
          <w:tcPr>
            <w:tcW w:w="1056" w:type="dxa"/>
            <w:shd w:val="clear" w:color="auto" w:fill="FDEADA"/>
          </w:tcPr>
          <w:p>
            <w:pPr>
              <w:jc w:val="center"/>
              <w:rPr>
                <w:rFonts w:ascii="仿宋" w:hAnsi="仿宋" w:eastAsia="仿宋" w:cs="仿宋"/>
              </w:rPr>
            </w:pPr>
            <w:r>
              <w:rPr>
                <w:rFonts w:hint="eastAsia" w:ascii="仿宋" w:hAnsi="仿宋" w:eastAsia="仿宋" w:cs="仿宋"/>
              </w:rPr>
              <w:t>90.44%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7" w:type="dxa"/>
            <w:shd w:val="clear" w:color="auto" w:fill="FDEADA"/>
          </w:tcPr>
          <w:p>
            <w:pPr>
              <w:jc w:val="center"/>
              <w:rPr>
                <w:rFonts w:ascii="仿宋" w:hAnsi="仿宋" w:eastAsia="仿宋" w:cs="仿宋"/>
              </w:rPr>
            </w:pPr>
            <w:r>
              <w:rPr>
                <w:rFonts w:hint="eastAsia" w:ascii="仿宋" w:hAnsi="仿宋" w:eastAsia="仿宋" w:cs="仿宋"/>
              </w:rPr>
              <w:t>2021</w:t>
            </w:r>
          </w:p>
        </w:tc>
        <w:tc>
          <w:tcPr>
            <w:tcW w:w="939" w:type="dxa"/>
            <w:shd w:val="clear" w:color="auto" w:fill="FDEADA"/>
          </w:tcPr>
          <w:p>
            <w:pPr>
              <w:jc w:val="center"/>
              <w:rPr>
                <w:rFonts w:ascii="仿宋" w:hAnsi="仿宋" w:eastAsia="仿宋" w:cs="仿宋"/>
              </w:rPr>
            </w:pPr>
            <w:r>
              <w:rPr>
                <w:rFonts w:hint="eastAsia" w:ascii="仿宋" w:hAnsi="仿宋" w:eastAsia="仿宋" w:cs="仿宋"/>
              </w:rPr>
              <w:t>157</w:t>
            </w:r>
          </w:p>
        </w:tc>
        <w:tc>
          <w:tcPr>
            <w:tcW w:w="1135" w:type="dxa"/>
            <w:shd w:val="clear" w:color="auto" w:fill="FDEADA"/>
          </w:tcPr>
          <w:p>
            <w:pPr>
              <w:jc w:val="center"/>
              <w:rPr>
                <w:rFonts w:ascii="仿宋" w:hAnsi="仿宋" w:eastAsia="仿宋" w:cs="仿宋"/>
              </w:rPr>
            </w:pPr>
            <w:r>
              <w:rPr>
                <w:rFonts w:hint="eastAsia" w:ascii="仿宋" w:hAnsi="仿宋" w:eastAsia="仿宋" w:cs="仿宋"/>
              </w:rPr>
              <w:t>48</w:t>
            </w:r>
          </w:p>
        </w:tc>
        <w:tc>
          <w:tcPr>
            <w:tcW w:w="1037" w:type="dxa"/>
            <w:shd w:val="clear" w:color="auto" w:fill="FDEADA"/>
          </w:tcPr>
          <w:p>
            <w:pPr>
              <w:jc w:val="center"/>
              <w:rPr>
                <w:rFonts w:ascii="仿宋" w:hAnsi="仿宋" w:eastAsia="仿宋" w:cs="仿宋"/>
              </w:rPr>
            </w:pPr>
            <w:r>
              <w:rPr>
                <w:rFonts w:hint="eastAsia" w:ascii="仿宋" w:hAnsi="仿宋" w:eastAsia="仿宋" w:cs="仿宋"/>
              </w:rPr>
              <w:t>12</w:t>
            </w:r>
          </w:p>
        </w:tc>
        <w:tc>
          <w:tcPr>
            <w:tcW w:w="933" w:type="dxa"/>
            <w:shd w:val="clear" w:color="auto" w:fill="FDEADA"/>
          </w:tcPr>
          <w:p>
            <w:pPr>
              <w:jc w:val="center"/>
              <w:rPr>
                <w:rFonts w:ascii="仿宋" w:hAnsi="仿宋" w:eastAsia="仿宋" w:cs="仿宋"/>
              </w:rPr>
            </w:pPr>
            <w:r>
              <w:rPr>
                <w:rFonts w:hint="eastAsia" w:ascii="仿宋" w:hAnsi="仿宋" w:eastAsia="仿宋" w:cs="仿宋"/>
              </w:rPr>
              <w:t>5</w:t>
            </w:r>
          </w:p>
        </w:tc>
        <w:tc>
          <w:tcPr>
            <w:tcW w:w="1305" w:type="dxa"/>
            <w:shd w:val="clear" w:color="auto" w:fill="FDEADA"/>
          </w:tcPr>
          <w:p>
            <w:pPr>
              <w:jc w:val="center"/>
              <w:rPr>
                <w:rFonts w:ascii="仿宋" w:hAnsi="仿宋" w:eastAsia="仿宋" w:cs="仿宋"/>
              </w:rPr>
            </w:pPr>
            <w:r>
              <w:rPr>
                <w:rFonts w:hint="eastAsia" w:ascii="仿宋" w:hAnsi="仿宋" w:eastAsia="仿宋" w:cs="仿宋"/>
              </w:rPr>
              <w:t>81</w:t>
            </w:r>
          </w:p>
        </w:tc>
        <w:tc>
          <w:tcPr>
            <w:tcW w:w="873" w:type="dxa"/>
            <w:shd w:val="clear" w:color="auto" w:fill="FDEADA"/>
          </w:tcPr>
          <w:p>
            <w:pPr>
              <w:jc w:val="center"/>
              <w:rPr>
                <w:rFonts w:ascii="仿宋" w:hAnsi="仿宋" w:eastAsia="仿宋" w:cs="仿宋"/>
              </w:rPr>
            </w:pPr>
            <w:r>
              <w:rPr>
                <w:rFonts w:hint="eastAsia" w:ascii="仿宋" w:hAnsi="仿宋" w:eastAsia="仿宋" w:cs="仿宋"/>
              </w:rPr>
              <w:t>146</w:t>
            </w:r>
          </w:p>
        </w:tc>
        <w:tc>
          <w:tcPr>
            <w:tcW w:w="1056" w:type="dxa"/>
            <w:shd w:val="clear" w:color="auto" w:fill="FDEADA"/>
          </w:tcPr>
          <w:p>
            <w:pPr>
              <w:jc w:val="center"/>
              <w:rPr>
                <w:rFonts w:ascii="仿宋" w:hAnsi="仿宋" w:eastAsia="仿宋" w:cs="仿宋"/>
              </w:rPr>
            </w:pPr>
            <w:r>
              <w:rPr>
                <w:rFonts w:hint="eastAsia" w:ascii="仿宋" w:hAnsi="仿宋" w:eastAsia="仿宋" w:cs="仿宋"/>
              </w:rPr>
              <w:t>93.00%</w:t>
            </w:r>
          </w:p>
        </w:tc>
      </w:tr>
    </w:tbl>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2"/>
        <w:rPr>
          <w:rFonts w:hint="eastAsia" w:ascii="仿宋_GB2312" w:hAnsi="Times New Roman" w:eastAsia="仿宋_GB2312" w:cs="Times New Roman"/>
          <w:b/>
          <w:bCs/>
          <w:kern w:val="2"/>
          <w:sz w:val="28"/>
          <w:szCs w:val="28"/>
          <w:lang w:val="en-US" w:eastAsia="zh-CN" w:bidi="ar-SA"/>
        </w:rPr>
      </w:pPr>
      <w:bookmarkStart w:id="36" w:name="_Toc15998"/>
      <w:bookmarkStart w:id="37" w:name="_Toc31337"/>
      <w:r>
        <w:rPr>
          <w:rFonts w:hint="eastAsia" w:ascii="仿宋_GB2312" w:hAnsi="Times New Roman" w:eastAsia="仿宋_GB2312" w:cs="Times New Roman"/>
          <w:b/>
          <w:bCs/>
          <w:kern w:val="2"/>
          <w:sz w:val="28"/>
          <w:szCs w:val="28"/>
          <w:lang w:val="en-US" w:eastAsia="zh-CN" w:bidi="ar-SA"/>
        </w:rPr>
        <w:t>2.2.2对口就业率</w:t>
      </w:r>
      <w:bookmarkEnd w:id="36"/>
      <w:bookmarkEnd w:id="37"/>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sz w:val="28"/>
          <w:szCs w:val="28"/>
          <w:lang w:val="en-US" w:eastAsia="zh-CN"/>
        </w:rPr>
      </w:pPr>
      <w:r>
        <w:rPr>
          <w:rFonts w:hint="eastAsia" w:ascii="仿宋_GB2312" w:hAnsi="Times New Roman" w:eastAsia="仿宋_GB2312"/>
          <w:sz w:val="28"/>
          <w:szCs w:val="28"/>
          <w:lang w:val="en-US" w:eastAsia="zh-CN"/>
        </w:rPr>
        <w:t>体育运动学校的学生毕业后，一部分优秀运动员进入了省专业运动队，一部分进入当地学校从事学校体育教育，还有一部分当了健身教练。2021年中专毕业生157人，对口就业69人，对口就业率达到46.94%。</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2"/>
        <w:rPr>
          <w:rFonts w:hint="eastAsia" w:ascii="仿宋_GB2312" w:hAnsi="Times New Roman" w:eastAsia="仿宋_GB2312" w:cs="Times New Roman"/>
          <w:b/>
          <w:bCs/>
          <w:kern w:val="2"/>
          <w:sz w:val="28"/>
          <w:szCs w:val="28"/>
          <w:lang w:val="en-US" w:eastAsia="zh-CN" w:bidi="ar-SA"/>
        </w:rPr>
      </w:pPr>
      <w:bookmarkStart w:id="38" w:name="_Toc20826"/>
      <w:bookmarkStart w:id="39" w:name="_Toc5088"/>
      <w:r>
        <w:rPr>
          <w:rFonts w:hint="eastAsia" w:ascii="仿宋_GB2312" w:hAnsi="Times New Roman" w:eastAsia="仿宋_GB2312" w:cs="Times New Roman"/>
          <w:b/>
          <w:bCs/>
          <w:kern w:val="2"/>
          <w:sz w:val="28"/>
          <w:szCs w:val="28"/>
          <w:lang w:val="en-US" w:eastAsia="zh-CN" w:bidi="ar-SA"/>
        </w:rPr>
        <w:t>2.2.3初次就业起薪</w:t>
      </w:r>
      <w:bookmarkEnd w:id="38"/>
      <w:bookmarkEnd w:id="39"/>
    </w:p>
    <w:p>
      <w:pPr>
        <w:pageBreakBefore w:val="0"/>
        <w:kinsoku/>
        <w:wordWrap/>
        <w:overflowPunct/>
        <w:topLinePunct w:val="0"/>
        <w:autoSpaceDE/>
        <w:autoSpaceDN/>
        <w:bidi w:val="0"/>
        <w:adjustRightInd/>
        <w:snapToGrid/>
        <w:spacing w:line="240" w:lineRule="auto"/>
        <w:ind w:firstLine="560" w:firstLineChars="200"/>
        <w:rPr>
          <w:rFonts w:ascii="仿宋" w:hAnsi="仿宋" w:eastAsia="仿宋" w:cs="仿宋"/>
          <w:sz w:val="28"/>
          <w:szCs w:val="28"/>
        </w:rPr>
      </w:pPr>
      <w:r>
        <w:rPr>
          <w:rFonts w:hint="eastAsia" w:ascii="仿宋" w:hAnsi="仿宋" w:eastAsia="仿宋" w:cs="仿宋"/>
          <w:sz w:val="28"/>
          <w:szCs w:val="28"/>
        </w:rPr>
        <w:t>进入了省专业运动队的毕业生，2021年初次就业起薪为3200元/月，被当地学校聘用为体育老师和健身教练以及从事个体的毕业生，初次就业起薪平均为2300元/月左右。</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1"/>
        <w:rPr>
          <w:rFonts w:hint="eastAsia" w:ascii="仿宋_GB2312" w:hAnsi="Times New Roman" w:eastAsia="仿宋_GB2312" w:cs="Times New Roman"/>
          <w:b/>
          <w:bCs/>
          <w:kern w:val="2"/>
          <w:sz w:val="28"/>
          <w:szCs w:val="28"/>
          <w:lang w:val="en-US" w:eastAsia="zh-CN" w:bidi="ar-SA"/>
        </w:rPr>
      </w:pPr>
      <w:bookmarkStart w:id="40" w:name="_Toc4566"/>
      <w:bookmarkStart w:id="41" w:name="_Toc10399"/>
      <w:r>
        <w:rPr>
          <w:rFonts w:hint="eastAsia" w:ascii="仿宋_GB2312" w:hAnsi="Times New Roman" w:eastAsia="仿宋_GB2312" w:cs="Times New Roman"/>
          <w:b/>
          <w:bCs/>
          <w:kern w:val="2"/>
          <w:sz w:val="28"/>
          <w:szCs w:val="28"/>
          <w:lang w:val="en-US" w:eastAsia="zh-CN" w:bidi="ar-SA"/>
        </w:rPr>
        <w:t>2.3德育工作</w:t>
      </w:r>
      <w:bookmarkEnd w:id="40"/>
      <w:bookmarkEnd w:id="41"/>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sz w:val="28"/>
          <w:szCs w:val="28"/>
          <w:lang w:val="en-US" w:eastAsia="zh-CN"/>
        </w:rPr>
      </w:pPr>
      <w:r>
        <w:rPr>
          <w:rFonts w:hint="eastAsia" w:ascii="仿宋_GB2312" w:hAnsi="Times New Roman" w:eastAsia="仿宋_GB2312"/>
          <w:sz w:val="28"/>
          <w:szCs w:val="28"/>
          <w:lang w:val="en-US" w:eastAsia="uk-UA"/>
        </w:rPr>
        <w:t>学校德育工作在“突出时代主题、坚定理想信念、培育健康人格、注重行为养成”理念统领下开展。</w:t>
      </w:r>
      <w:r>
        <w:rPr>
          <w:rFonts w:hint="eastAsia" w:ascii="仿宋_GB2312" w:hAnsi="Times New Roman" w:eastAsia="仿宋_GB2312"/>
          <w:sz w:val="28"/>
          <w:szCs w:val="28"/>
          <w:lang w:val="en-US" w:eastAsia="zh-CN"/>
        </w:rPr>
        <w:t>加强学生德育教育，狠抓学生思想工作不放松。通过入学教育让学生了解学校和学生管理制度。通过军训教育，增强学生的国防观念和爱国热情，增强组织纪律性和集体主义观念。</w:t>
      </w:r>
    </w:p>
    <w:p>
      <w:pPr>
        <w:pStyle w:val="2"/>
        <w:ind w:left="0" w:leftChars="0" w:firstLine="0" w:firstLineChars="0"/>
        <w:rPr>
          <w:rFonts w:hint="eastAsia"/>
          <w:lang w:val="en-US" w:eastAsia="zh-CN"/>
        </w:rPr>
      </w:pPr>
      <w:r>
        <w:rPr>
          <w:rFonts w:hint="eastAsia"/>
          <w:lang w:val="en-US" w:eastAsia="zh-CN"/>
        </w:rPr>
        <w:drawing>
          <wp:inline distT="0" distB="0" distL="114300" distR="114300">
            <wp:extent cx="2606675" cy="1704975"/>
            <wp:effectExtent l="0" t="0" r="3175" b="9525"/>
            <wp:docPr id="40" name="图片 4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2"/>
                    <pic:cNvPicPr>
                      <a:picLocks noChangeAspect="1"/>
                    </pic:cNvPicPr>
                  </pic:nvPicPr>
                  <pic:blipFill>
                    <a:blip r:embed="rId22"/>
                    <a:stretch>
                      <a:fillRect/>
                    </a:stretch>
                  </pic:blipFill>
                  <pic:spPr>
                    <a:xfrm>
                      <a:off x="0" y="0"/>
                      <a:ext cx="2606675" cy="170497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552700" cy="1732280"/>
            <wp:effectExtent l="0" t="0" r="0" b="1270"/>
            <wp:docPr id="39" name="图片 39"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22"/>
                    <pic:cNvPicPr>
                      <a:picLocks noChangeAspect="1"/>
                    </pic:cNvPicPr>
                  </pic:nvPicPr>
                  <pic:blipFill>
                    <a:blip r:embed="rId23"/>
                    <a:stretch>
                      <a:fillRect/>
                    </a:stretch>
                  </pic:blipFill>
                  <pic:spPr>
                    <a:xfrm>
                      <a:off x="0" y="0"/>
                      <a:ext cx="2552700" cy="1732280"/>
                    </a:xfrm>
                    <a:prstGeom prst="rect">
                      <a:avLst/>
                    </a:prstGeom>
                  </pic:spPr>
                </pic:pic>
              </a:graphicData>
            </a:graphic>
          </wp:inline>
        </w:drawing>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840" w:firstLineChars="300"/>
        <w:textAlignment w:val="auto"/>
        <w:rPr>
          <w:rFonts w:hint="default" w:ascii="仿宋_GB2312" w:hAnsi="Times New Roman" w:eastAsia="仿宋_GB2312"/>
          <w:sz w:val="28"/>
          <w:szCs w:val="28"/>
          <w:lang w:val="en-US" w:eastAsia="zh-CN"/>
        </w:rPr>
      </w:pPr>
      <w:r>
        <w:rPr>
          <w:rFonts w:hint="eastAsia" w:ascii="仿宋_GB2312" w:hAnsi="Times New Roman" w:eastAsia="仿宋_GB2312"/>
          <w:sz w:val="28"/>
          <w:szCs w:val="28"/>
          <w:lang w:val="en-US" w:eastAsia="zh-CN"/>
        </w:rPr>
        <w:t>新生军训开营仪式             新生军训结营仪式</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2"/>
        <w:rPr>
          <w:rFonts w:hint="eastAsia" w:ascii="仿宋_GB2312" w:hAnsi="Times New Roman" w:eastAsia="仿宋_GB2312" w:cs="Times New Roman"/>
          <w:b/>
          <w:bCs/>
          <w:kern w:val="2"/>
          <w:sz w:val="28"/>
          <w:szCs w:val="28"/>
          <w:lang w:val="en-US" w:eastAsia="zh-CN" w:bidi="ar-SA"/>
        </w:rPr>
      </w:pPr>
      <w:bookmarkStart w:id="42" w:name="_Toc18472"/>
      <w:bookmarkStart w:id="43" w:name="_Toc18656"/>
      <w:r>
        <w:rPr>
          <w:rFonts w:hint="eastAsia" w:ascii="仿宋_GB2312" w:hAnsi="Times New Roman" w:eastAsia="仿宋_GB2312" w:cs="Times New Roman"/>
          <w:b/>
          <w:bCs/>
          <w:kern w:val="2"/>
          <w:sz w:val="28"/>
          <w:szCs w:val="28"/>
          <w:lang w:val="en-US" w:eastAsia="zh-CN" w:bidi="ar-SA"/>
        </w:rPr>
        <w:t>2.3.1德育课</w:t>
      </w:r>
      <w:bookmarkEnd w:id="42"/>
      <w:bookmarkEnd w:id="43"/>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sz w:val="28"/>
          <w:szCs w:val="28"/>
          <w:lang w:val="en-US" w:eastAsia="uk-UA"/>
        </w:rPr>
      </w:pPr>
      <w:r>
        <w:rPr>
          <w:rFonts w:hint="eastAsia" w:ascii="仿宋_GB2312" w:hAnsi="Times New Roman" w:eastAsia="仿宋_GB2312"/>
          <w:sz w:val="28"/>
          <w:szCs w:val="28"/>
          <w:lang w:val="en-US" w:eastAsia="uk-UA"/>
        </w:rPr>
        <w:t>我校历来严格贯彻落实国家教育部有关德育课开设的相关政策，目前在课程设置、教学时间安排、教材选用等方面都是按照2014年修订的《德育课教学大纲》、《教育部关于中等职业学校德育课设置与教学安排的意见》（教职成</w:t>
      </w:r>
      <w:r>
        <w:rPr>
          <w:rFonts w:hint="eastAsia" w:ascii="仿宋_GB2312" w:hAnsi="Times New Roman" w:eastAsia="仿宋_GB2312" w:cs="Times New Roman"/>
          <w:b w:val="0"/>
          <w:bCs w:val="0"/>
          <w:kern w:val="2"/>
          <w:sz w:val="28"/>
          <w:szCs w:val="28"/>
          <w:lang w:val="en-US" w:eastAsia="zh-CN" w:bidi="ar-SA"/>
        </w:rPr>
        <w:t>〔2008〕</w:t>
      </w:r>
      <w:r>
        <w:rPr>
          <w:rFonts w:hint="eastAsia" w:ascii="仿宋_GB2312" w:hAnsi="Times New Roman" w:eastAsia="仿宋_GB2312"/>
          <w:sz w:val="28"/>
          <w:szCs w:val="28"/>
          <w:lang w:val="en-US" w:eastAsia="uk-UA"/>
        </w:rPr>
        <w:t>6号）等文件严格进行的。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sz w:val="28"/>
          <w:szCs w:val="28"/>
          <w:lang w:val="en-US" w:eastAsia="uk-UA"/>
        </w:rPr>
      </w:pPr>
      <w:r>
        <w:rPr>
          <w:rFonts w:hint="eastAsia" w:ascii="仿宋_GB2312" w:hAnsi="Times New Roman" w:eastAsia="仿宋_GB2312"/>
          <w:sz w:val="28"/>
          <w:szCs w:val="28"/>
          <w:lang w:val="en-US" w:eastAsia="uk-UA"/>
        </w:rPr>
        <w:t>学校坚持育人为本，重视对学生的德育教育工作，组建了一支以德育课教师为主、政治辅导员和班主任参加的高素质师资队伍，</w:t>
      </w:r>
      <w:r>
        <w:rPr>
          <w:rFonts w:hint="eastAsia" w:ascii="仿宋_GB2312" w:hAnsi="Times New Roman" w:eastAsia="仿宋_GB2312"/>
          <w:sz w:val="28"/>
          <w:szCs w:val="28"/>
          <w:lang w:val="en-US" w:eastAsia="zh-CN"/>
        </w:rPr>
        <w:t>其中思想政治课专任教师2名，德育管理人员13名，美育课专任教师2名，</w:t>
      </w:r>
      <w:r>
        <w:rPr>
          <w:rFonts w:hint="eastAsia" w:ascii="仿宋_GB2312" w:hAnsi="Times New Roman" w:eastAsia="仿宋_GB2312"/>
          <w:sz w:val="28"/>
          <w:szCs w:val="28"/>
          <w:lang w:val="en-US" w:eastAsia="uk-UA"/>
        </w:rPr>
        <w:t>严格按照教育部及省教育厅的相关要求设置专门的德育教育课程和学生礼仪课程，并制定了完善的学生思想品德教育考核制度和办法。学校定期开展法律、文明礼仪、心理健康等知识讲座，对学生进行法制教育、职业道德和行为规范教育、创业教育、心理健康等教育。</w:t>
      </w:r>
    </w:p>
    <w:p>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rFonts w:hint="eastAsia" w:ascii="仿宋_GB2312" w:hAnsi="Times New Roman" w:eastAsia="仿宋_GB2312"/>
          <w:b/>
          <w:bCs/>
          <w:sz w:val="28"/>
          <w:szCs w:val="28"/>
          <w:lang w:val="en-US" w:eastAsia="uk-UA"/>
        </w:rPr>
      </w:pPr>
      <w:r>
        <w:rPr>
          <w:rFonts w:hint="eastAsia" w:ascii="仿宋_GB2312" w:hAnsi="Times New Roman" w:eastAsia="仿宋_GB2312"/>
          <w:b/>
          <w:bCs/>
          <w:sz w:val="28"/>
          <w:szCs w:val="28"/>
          <w:lang w:val="en-US" w:eastAsia="uk-UA"/>
        </w:rPr>
        <w:t>德育课开设情况一览表</w:t>
      </w:r>
    </w:p>
    <w:tbl>
      <w:tblPr>
        <w:tblStyle w:val="14"/>
        <w:tblW w:w="8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1211"/>
        <w:gridCol w:w="1385"/>
        <w:gridCol w:w="2117"/>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36" w:type="dxa"/>
            <w:tcBorders>
              <w:top w:val="single" w:color="C0504D" w:sz="8" w:space="0"/>
              <w:left w:val="single" w:color="C0504D" w:sz="8" w:space="0"/>
              <w:bottom w:val="single" w:color="FFFFFF" w:sz="18" w:space="0"/>
              <w:right w:val="single" w:color="C0504D" w:sz="8" w:space="0"/>
            </w:tcBorders>
            <w:shd w:val="clear" w:color="auto" w:fill="C0504D"/>
            <w:noWrap w:val="0"/>
            <w:vAlign w:val="top"/>
          </w:tcPr>
          <w:p>
            <w:pPr>
              <w:widowControl/>
              <w:jc w:val="center"/>
              <w:rPr>
                <w:rFonts w:ascii="仿宋_GB2312" w:hAnsi="仿宋_GB2312" w:eastAsia="仿宋_GB2312" w:cs="仿宋_GB2312"/>
                <w:color w:val="FFFFFF"/>
                <w:kern w:val="0"/>
                <w:lang w:eastAsia="uk-UA"/>
              </w:rPr>
            </w:pPr>
            <w:r>
              <w:rPr>
                <w:rFonts w:hint="eastAsia" w:ascii="仿宋_GB2312" w:hAnsi="仿宋_GB2312" w:eastAsia="仿宋_GB2312" w:cs="仿宋_GB2312"/>
                <w:color w:val="FFFFFF"/>
                <w:kern w:val="0"/>
                <w:lang w:eastAsia="uk-UA"/>
              </w:rPr>
              <w:t>课程名称</w:t>
            </w:r>
          </w:p>
        </w:tc>
        <w:tc>
          <w:tcPr>
            <w:tcW w:w="1211" w:type="dxa"/>
            <w:tcBorders>
              <w:top w:val="single" w:color="C0504D" w:sz="8" w:space="0"/>
              <w:left w:val="single" w:color="C0504D" w:sz="8" w:space="0"/>
              <w:bottom w:val="single" w:color="FFFFFF" w:sz="18" w:space="0"/>
              <w:right w:val="single" w:color="C0504D" w:sz="8" w:space="0"/>
            </w:tcBorders>
            <w:shd w:val="clear" w:color="auto" w:fill="C0504D"/>
            <w:noWrap w:val="0"/>
            <w:vAlign w:val="top"/>
          </w:tcPr>
          <w:p>
            <w:pPr>
              <w:widowControl/>
              <w:jc w:val="center"/>
              <w:rPr>
                <w:rFonts w:ascii="仿宋_GB2312" w:hAnsi="仿宋_GB2312" w:eastAsia="仿宋_GB2312" w:cs="仿宋_GB2312"/>
                <w:color w:val="FFFFFF"/>
                <w:kern w:val="0"/>
                <w:lang w:eastAsia="uk-UA"/>
              </w:rPr>
            </w:pPr>
            <w:r>
              <w:rPr>
                <w:rFonts w:hint="eastAsia" w:ascii="仿宋_GB2312" w:hAnsi="仿宋_GB2312" w:eastAsia="仿宋_GB2312" w:cs="仿宋_GB2312"/>
                <w:color w:val="FFFFFF"/>
                <w:kern w:val="0"/>
                <w:lang w:eastAsia="uk-UA"/>
              </w:rPr>
              <w:t>开设学期</w:t>
            </w:r>
          </w:p>
        </w:tc>
        <w:tc>
          <w:tcPr>
            <w:tcW w:w="1385" w:type="dxa"/>
            <w:tcBorders>
              <w:top w:val="single" w:color="C0504D" w:sz="8" w:space="0"/>
              <w:left w:val="single" w:color="C0504D" w:sz="8" w:space="0"/>
              <w:bottom w:val="single" w:color="FFFFFF" w:sz="18" w:space="0"/>
              <w:right w:val="single" w:color="C0504D" w:sz="8" w:space="0"/>
            </w:tcBorders>
            <w:shd w:val="clear" w:color="auto" w:fill="C0504D"/>
            <w:noWrap w:val="0"/>
            <w:vAlign w:val="top"/>
          </w:tcPr>
          <w:p>
            <w:pPr>
              <w:widowControl/>
              <w:ind w:firstLine="420" w:firstLineChars="200"/>
              <w:jc w:val="left"/>
              <w:rPr>
                <w:rFonts w:ascii="仿宋_GB2312" w:hAnsi="仿宋_GB2312" w:eastAsia="仿宋_GB2312" w:cs="仿宋_GB2312"/>
                <w:color w:val="FFFFFF"/>
                <w:kern w:val="0"/>
                <w:lang w:eastAsia="uk-UA"/>
              </w:rPr>
            </w:pPr>
            <w:r>
              <w:rPr>
                <w:rFonts w:hint="eastAsia" w:ascii="仿宋_GB2312" w:hAnsi="仿宋_GB2312" w:eastAsia="仿宋_GB2312" w:cs="仿宋_GB2312"/>
                <w:color w:val="FFFFFF"/>
                <w:kern w:val="0"/>
                <w:lang w:eastAsia="uk-UA"/>
              </w:rPr>
              <w:t>学时</w:t>
            </w:r>
          </w:p>
        </w:tc>
        <w:tc>
          <w:tcPr>
            <w:tcW w:w="2117" w:type="dxa"/>
            <w:tcBorders>
              <w:top w:val="single" w:color="C0504D" w:sz="8" w:space="0"/>
              <w:left w:val="single" w:color="C0504D" w:sz="8" w:space="0"/>
              <w:bottom w:val="single" w:color="FFFFFF" w:sz="18" w:space="0"/>
              <w:right w:val="single" w:color="C0504D" w:sz="8" w:space="0"/>
            </w:tcBorders>
            <w:shd w:val="clear" w:color="auto" w:fill="C0504D"/>
            <w:noWrap w:val="0"/>
            <w:vAlign w:val="top"/>
          </w:tcPr>
          <w:p>
            <w:pPr>
              <w:widowControl/>
              <w:jc w:val="center"/>
              <w:rPr>
                <w:rFonts w:ascii="仿宋_GB2312" w:hAnsi="仿宋_GB2312" w:eastAsia="仿宋_GB2312" w:cs="仿宋_GB2312"/>
                <w:color w:val="FFFFFF"/>
                <w:kern w:val="0"/>
                <w:lang w:eastAsia="uk-UA"/>
              </w:rPr>
            </w:pPr>
            <w:r>
              <w:rPr>
                <w:rFonts w:hint="eastAsia" w:ascii="仿宋_GB2312" w:hAnsi="仿宋_GB2312" w:eastAsia="仿宋_GB2312" w:cs="仿宋_GB2312"/>
                <w:color w:val="FFFFFF"/>
                <w:kern w:val="0"/>
                <w:lang w:eastAsia="uk-UA"/>
              </w:rPr>
              <w:t>教材出版单位</w:t>
            </w:r>
          </w:p>
        </w:tc>
        <w:tc>
          <w:tcPr>
            <w:tcW w:w="1649" w:type="dxa"/>
            <w:tcBorders>
              <w:top w:val="single" w:color="C0504D" w:sz="8" w:space="0"/>
              <w:left w:val="single" w:color="C0504D" w:sz="8" w:space="0"/>
              <w:bottom w:val="single" w:color="FFFFFF" w:sz="18" w:space="0"/>
              <w:right w:val="single" w:color="C0504D" w:sz="8" w:space="0"/>
            </w:tcBorders>
            <w:shd w:val="clear" w:color="auto" w:fill="C0504D"/>
            <w:noWrap w:val="0"/>
            <w:vAlign w:val="top"/>
          </w:tcPr>
          <w:p>
            <w:pPr>
              <w:widowControl/>
              <w:jc w:val="center"/>
              <w:rPr>
                <w:rFonts w:ascii="仿宋_GB2312" w:hAnsi="仿宋_GB2312" w:eastAsia="仿宋_GB2312" w:cs="仿宋_GB2312"/>
                <w:color w:val="FFFFFF"/>
                <w:kern w:val="0"/>
                <w:lang w:eastAsia="uk-UA"/>
              </w:rPr>
            </w:pPr>
            <w:r>
              <w:rPr>
                <w:rFonts w:hint="eastAsia" w:ascii="仿宋_GB2312" w:hAnsi="仿宋_GB2312" w:eastAsia="仿宋_GB2312" w:cs="仿宋_GB2312"/>
                <w:color w:val="FFFFFF"/>
                <w:kern w:val="0"/>
                <w:lang w:eastAsia="uk-U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836" w:type="dxa"/>
            <w:tcBorders>
              <w:top w:val="single" w:color="FFFFFF" w:sz="18" w:space="0"/>
              <w:left w:val="single" w:color="C0504D" w:sz="8" w:space="0"/>
              <w:bottom w:val="single" w:color="C0504D" w:sz="8" w:space="0"/>
              <w:right w:val="single" w:color="C0504D" w:sz="8" w:space="0"/>
            </w:tcBorders>
            <w:shd w:val="clear" w:color="auto" w:fill="E5B9B7"/>
            <w:noWrap w:val="0"/>
            <w:vAlign w:val="top"/>
          </w:tcPr>
          <w:p>
            <w:pPr>
              <w:widowControl/>
              <w:jc w:val="center"/>
              <w:rPr>
                <w:rFonts w:ascii="仿宋_GB2312" w:hAnsi="仿宋_GB2312" w:eastAsia="仿宋_GB2312" w:cs="仿宋_GB2312"/>
                <w:color w:val="000000"/>
                <w:kern w:val="0"/>
                <w:lang w:eastAsia="uk-UA"/>
              </w:rPr>
            </w:pPr>
            <w:r>
              <w:rPr>
                <w:rFonts w:hint="eastAsia" w:ascii="仿宋_GB2312" w:hAnsi="仿宋_GB2312" w:eastAsia="仿宋_GB2312" w:cs="仿宋_GB2312"/>
                <w:color w:val="000000"/>
                <w:kern w:val="0"/>
                <w:lang w:eastAsia="uk-UA"/>
              </w:rPr>
              <w:t>职业生涯规划</w:t>
            </w:r>
          </w:p>
        </w:tc>
        <w:tc>
          <w:tcPr>
            <w:tcW w:w="1211" w:type="dxa"/>
            <w:tcBorders>
              <w:top w:val="single" w:color="FFFFFF" w:sz="18" w:space="0"/>
              <w:left w:val="single" w:color="C0504D" w:sz="8" w:space="0"/>
              <w:bottom w:val="single" w:color="C0504D" w:sz="8" w:space="0"/>
              <w:right w:val="single" w:color="C0504D" w:sz="8" w:space="0"/>
            </w:tcBorders>
            <w:shd w:val="clear" w:color="auto" w:fill="E5B9B7"/>
            <w:noWrap w:val="0"/>
            <w:vAlign w:val="top"/>
          </w:tcPr>
          <w:p>
            <w:pPr>
              <w:widowControl/>
              <w:jc w:val="center"/>
              <w:rPr>
                <w:rFonts w:ascii="仿宋_GB2312" w:hAnsi="仿宋_GB2312" w:eastAsia="仿宋_GB2312" w:cs="仿宋_GB2312"/>
                <w:color w:val="000000"/>
                <w:kern w:val="0"/>
                <w:lang w:eastAsia="uk-UA"/>
              </w:rPr>
            </w:pPr>
            <w:r>
              <w:rPr>
                <w:rFonts w:hint="eastAsia" w:ascii="仿宋_GB2312" w:hAnsi="仿宋_GB2312" w:eastAsia="仿宋_GB2312" w:cs="仿宋_GB2312"/>
                <w:color w:val="000000"/>
                <w:kern w:val="0"/>
                <w:lang w:eastAsia="uk-UA"/>
              </w:rPr>
              <w:t>一</w:t>
            </w:r>
          </w:p>
        </w:tc>
        <w:tc>
          <w:tcPr>
            <w:tcW w:w="1385" w:type="dxa"/>
            <w:tcBorders>
              <w:top w:val="single" w:color="FFFFFF" w:sz="18" w:space="0"/>
              <w:left w:val="single" w:color="C0504D" w:sz="8" w:space="0"/>
              <w:bottom w:val="single" w:color="C0504D" w:sz="8" w:space="0"/>
              <w:right w:val="single" w:color="C0504D" w:sz="8" w:space="0"/>
            </w:tcBorders>
            <w:shd w:val="clear" w:color="auto" w:fill="E5B9B7"/>
            <w:noWrap w:val="0"/>
            <w:vAlign w:val="top"/>
          </w:tcPr>
          <w:p>
            <w:pPr>
              <w:widowControl/>
              <w:ind w:firstLine="420" w:firstLineChars="200"/>
              <w:jc w:val="left"/>
              <w:rPr>
                <w:rFonts w:ascii="仿宋_GB2312" w:hAnsi="仿宋_GB2312" w:eastAsia="仿宋_GB2312" w:cs="仿宋_GB2312"/>
                <w:color w:val="000000"/>
                <w:kern w:val="0"/>
                <w:lang w:eastAsia="uk-UA"/>
              </w:rPr>
            </w:pPr>
            <w:r>
              <w:rPr>
                <w:rFonts w:hint="eastAsia" w:ascii="仿宋_GB2312" w:hAnsi="仿宋_GB2312" w:eastAsia="仿宋_GB2312" w:cs="仿宋_GB2312"/>
                <w:color w:val="000000"/>
                <w:kern w:val="0"/>
                <w:lang w:eastAsia="uk-UA"/>
              </w:rPr>
              <w:t>28</w:t>
            </w:r>
          </w:p>
        </w:tc>
        <w:tc>
          <w:tcPr>
            <w:tcW w:w="2117" w:type="dxa"/>
            <w:tcBorders>
              <w:top w:val="single" w:color="FFFFFF" w:sz="18" w:space="0"/>
              <w:left w:val="single" w:color="C0504D" w:sz="8" w:space="0"/>
              <w:bottom w:val="single" w:color="C0504D" w:sz="8" w:space="0"/>
              <w:right w:val="single" w:color="C0504D" w:sz="8" w:space="0"/>
            </w:tcBorders>
            <w:shd w:val="clear" w:color="auto" w:fill="E5B9B7"/>
            <w:noWrap w:val="0"/>
            <w:vAlign w:val="top"/>
          </w:tcPr>
          <w:p>
            <w:pPr>
              <w:widowControl/>
              <w:jc w:val="center"/>
              <w:rPr>
                <w:rFonts w:ascii="仿宋_GB2312" w:hAnsi="仿宋_GB2312" w:eastAsia="仿宋_GB2312" w:cs="仿宋_GB2312"/>
                <w:color w:val="000000"/>
                <w:kern w:val="0"/>
                <w:lang w:eastAsia="uk-UA"/>
              </w:rPr>
            </w:pPr>
            <w:r>
              <w:rPr>
                <w:rFonts w:hint="eastAsia" w:ascii="仿宋_GB2312" w:hAnsi="仿宋_GB2312" w:eastAsia="仿宋_GB2312" w:cs="仿宋_GB2312"/>
                <w:color w:val="000000"/>
                <w:kern w:val="0"/>
                <w:lang w:eastAsia="uk-UA"/>
              </w:rPr>
              <w:t>北京师范大学出版社</w:t>
            </w:r>
          </w:p>
        </w:tc>
        <w:tc>
          <w:tcPr>
            <w:tcW w:w="1649" w:type="dxa"/>
            <w:tcBorders>
              <w:top w:val="single" w:color="FFFFFF" w:sz="18" w:space="0"/>
              <w:left w:val="single" w:color="C0504D" w:sz="8" w:space="0"/>
              <w:bottom w:val="single" w:color="C0504D" w:sz="8" w:space="0"/>
              <w:right w:val="single" w:color="C0504D" w:sz="8" w:space="0"/>
            </w:tcBorders>
            <w:shd w:val="clear" w:color="auto" w:fill="E5B9B7"/>
            <w:noWrap w:val="0"/>
            <w:vAlign w:val="top"/>
          </w:tcPr>
          <w:p>
            <w:pPr>
              <w:widowControl/>
              <w:jc w:val="center"/>
              <w:rPr>
                <w:rFonts w:ascii="仿宋_GB2312" w:hAnsi="仿宋_GB2312" w:eastAsia="仿宋_GB2312" w:cs="仿宋_GB2312"/>
                <w:color w:val="000000"/>
                <w:kern w:val="0"/>
                <w:lang w:eastAsia="uk-UA"/>
              </w:rPr>
            </w:pPr>
            <w:r>
              <w:rPr>
                <w:rFonts w:hint="eastAsia" w:ascii="仿宋_GB2312" w:hAnsi="仿宋_GB2312" w:eastAsia="仿宋_GB2312" w:cs="仿宋_GB2312"/>
                <w:color w:val="000000"/>
                <w:kern w:val="0"/>
                <w:lang w:eastAsia="uk-UA"/>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36" w:type="dxa"/>
            <w:tcBorders>
              <w:top w:val="single" w:color="C0504D" w:sz="8" w:space="0"/>
              <w:left w:val="single" w:color="C0504D" w:sz="8" w:space="0"/>
              <w:bottom w:val="single" w:color="C0504D" w:sz="8" w:space="0"/>
              <w:right w:val="single" w:color="C0504D" w:sz="8" w:space="0"/>
            </w:tcBorders>
            <w:shd w:val="clear" w:color="auto" w:fill="FFFFFF"/>
            <w:noWrap w:val="0"/>
            <w:vAlign w:val="top"/>
          </w:tcPr>
          <w:p>
            <w:pPr>
              <w:widowControl/>
              <w:jc w:val="center"/>
              <w:rPr>
                <w:rFonts w:ascii="仿宋_GB2312" w:hAnsi="仿宋_GB2312" w:eastAsia="仿宋_GB2312" w:cs="仿宋_GB2312"/>
                <w:color w:val="000000"/>
                <w:kern w:val="0"/>
                <w:lang w:eastAsia="uk-UA"/>
              </w:rPr>
            </w:pPr>
            <w:r>
              <w:rPr>
                <w:rFonts w:hint="eastAsia" w:ascii="仿宋_GB2312" w:hAnsi="仿宋_GB2312" w:eastAsia="仿宋_GB2312" w:cs="仿宋_GB2312"/>
                <w:color w:val="000000"/>
                <w:kern w:val="0"/>
                <w:lang w:eastAsia="uk-UA"/>
              </w:rPr>
              <w:t>职业的道德法律</w:t>
            </w:r>
          </w:p>
        </w:tc>
        <w:tc>
          <w:tcPr>
            <w:tcW w:w="1211" w:type="dxa"/>
            <w:tcBorders>
              <w:top w:val="single" w:color="C0504D" w:sz="8" w:space="0"/>
              <w:left w:val="single" w:color="C0504D" w:sz="8" w:space="0"/>
              <w:bottom w:val="single" w:color="C0504D" w:sz="8" w:space="0"/>
              <w:right w:val="single" w:color="C0504D" w:sz="8" w:space="0"/>
            </w:tcBorders>
            <w:shd w:val="clear" w:color="auto" w:fill="FFFFFF"/>
            <w:noWrap w:val="0"/>
            <w:vAlign w:val="top"/>
          </w:tcPr>
          <w:p>
            <w:pPr>
              <w:widowControl/>
              <w:jc w:val="center"/>
              <w:rPr>
                <w:rFonts w:ascii="仿宋_GB2312" w:hAnsi="仿宋_GB2312" w:eastAsia="仿宋_GB2312" w:cs="仿宋_GB2312"/>
                <w:color w:val="000000"/>
                <w:kern w:val="0"/>
                <w:lang w:eastAsia="uk-UA"/>
              </w:rPr>
            </w:pPr>
            <w:r>
              <w:rPr>
                <w:rFonts w:hint="eastAsia" w:ascii="仿宋_GB2312" w:hAnsi="仿宋_GB2312" w:eastAsia="仿宋_GB2312" w:cs="仿宋_GB2312"/>
                <w:color w:val="000000"/>
                <w:kern w:val="0"/>
                <w:lang w:eastAsia="uk-UA"/>
              </w:rPr>
              <w:t>二</w:t>
            </w:r>
          </w:p>
        </w:tc>
        <w:tc>
          <w:tcPr>
            <w:tcW w:w="1385" w:type="dxa"/>
            <w:tcBorders>
              <w:top w:val="single" w:color="C0504D" w:sz="8" w:space="0"/>
              <w:left w:val="single" w:color="C0504D" w:sz="8" w:space="0"/>
              <w:bottom w:val="single" w:color="C0504D" w:sz="8" w:space="0"/>
              <w:right w:val="single" w:color="C0504D" w:sz="8" w:space="0"/>
            </w:tcBorders>
            <w:shd w:val="clear" w:color="auto" w:fill="FFFFFF"/>
            <w:noWrap w:val="0"/>
            <w:vAlign w:val="top"/>
          </w:tcPr>
          <w:p>
            <w:pPr>
              <w:widowControl/>
              <w:ind w:firstLine="420" w:firstLineChars="200"/>
              <w:jc w:val="left"/>
              <w:rPr>
                <w:rFonts w:ascii="仿宋_GB2312" w:hAnsi="仿宋_GB2312" w:eastAsia="仿宋_GB2312" w:cs="仿宋_GB2312"/>
                <w:color w:val="000000"/>
                <w:kern w:val="0"/>
              </w:rPr>
            </w:pPr>
            <w:r>
              <w:rPr>
                <w:rFonts w:hint="eastAsia" w:ascii="仿宋_GB2312" w:hAnsi="仿宋_GB2312" w:eastAsia="仿宋_GB2312" w:cs="仿宋_GB2312"/>
                <w:color w:val="000000"/>
                <w:kern w:val="0"/>
                <w:lang w:eastAsia="uk-UA"/>
              </w:rPr>
              <w:t>3</w:t>
            </w:r>
            <w:r>
              <w:rPr>
                <w:rFonts w:hint="eastAsia" w:ascii="仿宋_GB2312" w:hAnsi="仿宋_GB2312" w:eastAsia="仿宋_GB2312" w:cs="仿宋_GB2312"/>
                <w:color w:val="000000"/>
                <w:kern w:val="0"/>
              </w:rPr>
              <w:t>2</w:t>
            </w:r>
          </w:p>
        </w:tc>
        <w:tc>
          <w:tcPr>
            <w:tcW w:w="2117" w:type="dxa"/>
            <w:tcBorders>
              <w:top w:val="single" w:color="C0504D" w:sz="8" w:space="0"/>
              <w:left w:val="single" w:color="C0504D" w:sz="8" w:space="0"/>
              <w:bottom w:val="single" w:color="C0504D" w:sz="8" w:space="0"/>
              <w:right w:val="single" w:color="C0504D" w:sz="8" w:space="0"/>
            </w:tcBorders>
            <w:shd w:val="clear" w:color="auto" w:fill="FFFFFF"/>
            <w:noWrap w:val="0"/>
            <w:vAlign w:val="top"/>
          </w:tcPr>
          <w:p>
            <w:pPr>
              <w:widowControl/>
              <w:jc w:val="center"/>
              <w:rPr>
                <w:rFonts w:ascii="仿宋_GB2312" w:hAnsi="仿宋_GB2312" w:eastAsia="仿宋_GB2312" w:cs="仿宋_GB2312"/>
                <w:color w:val="000000"/>
                <w:kern w:val="0"/>
                <w:lang w:eastAsia="uk-UA"/>
              </w:rPr>
            </w:pPr>
            <w:r>
              <w:rPr>
                <w:rFonts w:hint="eastAsia" w:ascii="仿宋_GB2312" w:hAnsi="仿宋_GB2312" w:eastAsia="仿宋_GB2312" w:cs="仿宋_GB2312"/>
                <w:color w:val="000000"/>
                <w:kern w:val="0"/>
                <w:lang w:eastAsia="uk-UA"/>
              </w:rPr>
              <w:t>北京师范大学出版社</w:t>
            </w:r>
          </w:p>
        </w:tc>
        <w:tc>
          <w:tcPr>
            <w:tcW w:w="1649" w:type="dxa"/>
            <w:tcBorders>
              <w:top w:val="single" w:color="C0504D" w:sz="8" w:space="0"/>
              <w:left w:val="single" w:color="C0504D" w:sz="8" w:space="0"/>
              <w:bottom w:val="single" w:color="C0504D" w:sz="8" w:space="0"/>
              <w:right w:val="single" w:color="C0504D" w:sz="8" w:space="0"/>
            </w:tcBorders>
            <w:shd w:val="clear" w:color="auto" w:fill="FFFFFF"/>
            <w:noWrap w:val="0"/>
            <w:vAlign w:val="top"/>
          </w:tcPr>
          <w:p>
            <w:pPr>
              <w:widowControl/>
              <w:jc w:val="center"/>
              <w:rPr>
                <w:rFonts w:ascii="仿宋_GB2312" w:hAnsi="仿宋_GB2312" w:eastAsia="仿宋_GB2312" w:cs="仿宋_GB2312"/>
                <w:color w:val="000000"/>
                <w:kern w:val="0"/>
                <w:lang w:eastAsia="uk-UA"/>
              </w:rPr>
            </w:pPr>
            <w:r>
              <w:rPr>
                <w:rFonts w:hint="eastAsia" w:ascii="仿宋_GB2312" w:hAnsi="仿宋_GB2312" w:eastAsia="仿宋_GB2312" w:cs="仿宋_GB2312"/>
                <w:color w:val="000000"/>
                <w:kern w:val="0"/>
                <w:lang w:eastAsia="uk-UA"/>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36" w:type="dxa"/>
            <w:tcBorders>
              <w:top w:val="single" w:color="C0504D" w:sz="8" w:space="0"/>
              <w:left w:val="single" w:color="C0504D" w:sz="8" w:space="0"/>
              <w:bottom w:val="single" w:color="C0504D" w:sz="8" w:space="0"/>
              <w:right w:val="single" w:color="C0504D" w:sz="8" w:space="0"/>
            </w:tcBorders>
            <w:shd w:val="clear" w:color="auto" w:fill="E5B9B7"/>
            <w:noWrap w:val="0"/>
            <w:vAlign w:val="top"/>
          </w:tcPr>
          <w:p>
            <w:pPr>
              <w:widowControl/>
              <w:jc w:val="center"/>
              <w:rPr>
                <w:rFonts w:ascii="仿宋_GB2312" w:hAnsi="仿宋_GB2312" w:eastAsia="仿宋_GB2312" w:cs="仿宋_GB2312"/>
                <w:color w:val="000000"/>
                <w:kern w:val="0"/>
                <w:lang w:eastAsia="uk-UA"/>
              </w:rPr>
            </w:pPr>
            <w:r>
              <w:rPr>
                <w:rFonts w:hint="eastAsia" w:ascii="仿宋_GB2312" w:hAnsi="仿宋_GB2312" w:eastAsia="仿宋_GB2312" w:cs="仿宋_GB2312"/>
                <w:color w:val="000000"/>
                <w:kern w:val="0"/>
                <w:lang w:eastAsia="uk-UA"/>
              </w:rPr>
              <w:t>经济政治与社会</w:t>
            </w:r>
          </w:p>
        </w:tc>
        <w:tc>
          <w:tcPr>
            <w:tcW w:w="1211" w:type="dxa"/>
            <w:tcBorders>
              <w:top w:val="single" w:color="C0504D" w:sz="8" w:space="0"/>
              <w:left w:val="single" w:color="C0504D" w:sz="8" w:space="0"/>
              <w:bottom w:val="single" w:color="C0504D" w:sz="8" w:space="0"/>
              <w:right w:val="single" w:color="C0504D" w:sz="8" w:space="0"/>
            </w:tcBorders>
            <w:shd w:val="clear" w:color="auto" w:fill="E5B9B7"/>
            <w:noWrap w:val="0"/>
            <w:vAlign w:val="top"/>
          </w:tcPr>
          <w:p>
            <w:pPr>
              <w:widowControl/>
              <w:jc w:val="center"/>
              <w:rPr>
                <w:rFonts w:ascii="仿宋_GB2312" w:hAnsi="仿宋_GB2312" w:eastAsia="仿宋_GB2312" w:cs="仿宋_GB2312"/>
                <w:color w:val="000000"/>
                <w:kern w:val="0"/>
                <w:lang w:eastAsia="uk-UA"/>
              </w:rPr>
            </w:pPr>
            <w:r>
              <w:rPr>
                <w:rFonts w:hint="eastAsia" w:ascii="仿宋_GB2312" w:hAnsi="仿宋_GB2312" w:eastAsia="仿宋_GB2312" w:cs="仿宋_GB2312"/>
                <w:color w:val="000000"/>
                <w:kern w:val="0"/>
                <w:lang w:eastAsia="uk-UA"/>
              </w:rPr>
              <w:t>三</w:t>
            </w:r>
          </w:p>
        </w:tc>
        <w:tc>
          <w:tcPr>
            <w:tcW w:w="1385" w:type="dxa"/>
            <w:tcBorders>
              <w:top w:val="single" w:color="C0504D" w:sz="8" w:space="0"/>
              <w:left w:val="single" w:color="C0504D" w:sz="8" w:space="0"/>
              <w:bottom w:val="single" w:color="C0504D" w:sz="8" w:space="0"/>
              <w:right w:val="single" w:color="C0504D" w:sz="8" w:space="0"/>
            </w:tcBorders>
            <w:shd w:val="clear" w:color="auto" w:fill="E5B9B7"/>
            <w:noWrap w:val="0"/>
            <w:vAlign w:val="top"/>
          </w:tcPr>
          <w:p>
            <w:pPr>
              <w:widowControl/>
              <w:ind w:firstLine="420" w:firstLineChars="200"/>
              <w:jc w:val="left"/>
              <w:rPr>
                <w:rFonts w:ascii="仿宋_GB2312" w:hAnsi="仿宋_GB2312" w:eastAsia="仿宋_GB2312" w:cs="仿宋_GB2312"/>
                <w:color w:val="000000"/>
                <w:kern w:val="0"/>
              </w:rPr>
            </w:pPr>
            <w:r>
              <w:rPr>
                <w:rFonts w:hint="eastAsia" w:ascii="仿宋_GB2312" w:hAnsi="仿宋_GB2312" w:eastAsia="仿宋_GB2312" w:cs="仿宋_GB2312"/>
                <w:color w:val="000000"/>
                <w:kern w:val="0"/>
              </w:rPr>
              <w:t>28</w:t>
            </w:r>
          </w:p>
        </w:tc>
        <w:tc>
          <w:tcPr>
            <w:tcW w:w="2117" w:type="dxa"/>
            <w:tcBorders>
              <w:top w:val="single" w:color="C0504D" w:sz="8" w:space="0"/>
              <w:left w:val="single" w:color="C0504D" w:sz="8" w:space="0"/>
              <w:bottom w:val="single" w:color="C0504D" w:sz="8" w:space="0"/>
              <w:right w:val="single" w:color="C0504D" w:sz="8" w:space="0"/>
            </w:tcBorders>
            <w:shd w:val="clear" w:color="auto" w:fill="E5B9B7"/>
            <w:noWrap w:val="0"/>
            <w:vAlign w:val="top"/>
          </w:tcPr>
          <w:p>
            <w:pPr>
              <w:widowControl/>
              <w:jc w:val="center"/>
              <w:rPr>
                <w:rFonts w:ascii="仿宋_GB2312" w:hAnsi="仿宋_GB2312" w:eastAsia="仿宋_GB2312" w:cs="仿宋_GB2312"/>
                <w:color w:val="000000"/>
                <w:kern w:val="0"/>
                <w:lang w:eastAsia="uk-UA"/>
              </w:rPr>
            </w:pPr>
            <w:r>
              <w:rPr>
                <w:rFonts w:hint="eastAsia" w:ascii="仿宋_GB2312" w:hAnsi="仿宋_GB2312" w:eastAsia="仿宋_GB2312" w:cs="仿宋_GB2312"/>
                <w:color w:val="000000"/>
                <w:kern w:val="0"/>
                <w:lang w:eastAsia="uk-UA"/>
              </w:rPr>
              <w:t>北京师范大学出版社</w:t>
            </w:r>
          </w:p>
        </w:tc>
        <w:tc>
          <w:tcPr>
            <w:tcW w:w="1649" w:type="dxa"/>
            <w:tcBorders>
              <w:top w:val="single" w:color="C0504D" w:sz="8" w:space="0"/>
              <w:left w:val="single" w:color="C0504D" w:sz="8" w:space="0"/>
              <w:bottom w:val="single" w:color="C0504D" w:sz="8" w:space="0"/>
              <w:right w:val="single" w:color="C0504D" w:sz="8" w:space="0"/>
            </w:tcBorders>
            <w:shd w:val="clear" w:color="auto" w:fill="E5B9B7"/>
            <w:noWrap w:val="0"/>
            <w:vAlign w:val="top"/>
          </w:tcPr>
          <w:p>
            <w:pPr>
              <w:widowControl/>
              <w:jc w:val="center"/>
              <w:rPr>
                <w:rFonts w:ascii="仿宋_GB2312" w:hAnsi="仿宋_GB2312" w:eastAsia="仿宋_GB2312" w:cs="仿宋_GB2312"/>
                <w:color w:val="000000"/>
                <w:kern w:val="0"/>
                <w:lang w:eastAsia="uk-UA"/>
              </w:rPr>
            </w:pPr>
            <w:r>
              <w:rPr>
                <w:rFonts w:hint="eastAsia" w:ascii="仿宋_GB2312" w:hAnsi="仿宋_GB2312" w:eastAsia="仿宋_GB2312" w:cs="仿宋_GB2312"/>
                <w:color w:val="000000"/>
                <w:kern w:val="0"/>
                <w:lang w:eastAsia="uk-UA"/>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836" w:type="dxa"/>
            <w:tcBorders>
              <w:top w:val="single" w:color="C0504D" w:sz="8" w:space="0"/>
              <w:left w:val="single" w:color="C0504D" w:sz="8" w:space="0"/>
              <w:bottom w:val="single" w:color="C0504D" w:sz="8" w:space="0"/>
              <w:right w:val="single" w:color="C0504D" w:sz="8" w:space="0"/>
            </w:tcBorders>
            <w:shd w:val="clear" w:color="auto" w:fill="FFFFFF"/>
            <w:noWrap w:val="0"/>
            <w:vAlign w:val="top"/>
          </w:tcPr>
          <w:p>
            <w:pPr>
              <w:widowControl/>
              <w:jc w:val="center"/>
              <w:rPr>
                <w:rFonts w:ascii="仿宋_GB2312" w:hAnsi="仿宋_GB2312" w:eastAsia="仿宋_GB2312" w:cs="仿宋_GB2312"/>
                <w:color w:val="000000"/>
                <w:kern w:val="0"/>
                <w:lang w:eastAsia="uk-UA"/>
              </w:rPr>
            </w:pPr>
            <w:r>
              <w:rPr>
                <w:rFonts w:hint="eastAsia" w:ascii="仿宋_GB2312" w:hAnsi="仿宋_GB2312" w:eastAsia="仿宋_GB2312" w:cs="仿宋_GB2312"/>
                <w:color w:val="000000"/>
                <w:kern w:val="0"/>
                <w:lang w:eastAsia="uk-UA"/>
              </w:rPr>
              <w:t>哲学与人生</w:t>
            </w:r>
          </w:p>
        </w:tc>
        <w:tc>
          <w:tcPr>
            <w:tcW w:w="1211" w:type="dxa"/>
            <w:tcBorders>
              <w:top w:val="single" w:color="C0504D" w:sz="8" w:space="0"/>
              <w:left w:val="single" w:color="C0504D" w:sz="8" w:space="0"/>
              <w:bottom w:val="single" w:color="C0504D" w:sz="8" w:space="0"/>
              <w:right w:val="single" w:color="C0504D" w:sz="8" w:space="0"/>
            </w:tcBorders>
            <w:shd w:val="clear" w:color="auto" w:fill="FFFFFF"/>
            <w:noWrap w:val="0"/>
            <w:vAlign w:val="top"/>
          </w:tcPr>
          <w:p>
            <w:pPr>
              <w:widowControl/>
              <w:jc w:val="center"/>
              <w:rPr>
                <w:rFonts w:ascii="仿宋_GB2312" w:hAnsi="仿宋_GB2312" w:eastAsia="仿宋_GB2312" w:cs="仿宋_GB2312"/>
                <w:color w:val="000000"/>
                <w:kern w:val="0"/>
                <w:lang w:eastAsia="uk-UA"/>
              </w:rPr>
            </w:pPr>
            <w:r>
              <w:rPr>
                <w:rFonts w:hint="eastAsia" w:ascii="仿宋_GB2312" w:hAnsi="仿宋_GB2312" w:eastAsia="仿宋_GB2312" w:cs="仿宋_GB2312"/>
                <w:color w:val="000000"/>
                <w:kern w:val="0"/>
                <w:lang w:eastAsia="uk-UA"/>
              </w:rPr>
              <w:t>四</w:t>
            </w:r>
          </w:p>
        </w:tc>
        <w:tc>
          <w:tcPr>
            <w:tcW w:w="1385" w:type="dxa"/>
            <w:tcBorders>
              <w:top w:val="single" w:color="C0504D" w:sz="8" w:space="0"/>
              <w:left w:val="single" w:color="C0504D" w:sz="8" w:space="0"/>
              <w:bottom w:val="single" w:color="C0504D" w:sz="8" w:space="0"/>
              <w:right w:val="single" w:color="C0504D" w:sz="8" w:space="0"/>
            </w:tcBorders>
            <w:shd w:val="clear" w:color="auto" w:fill="FFFFFF"/>
            <w:noWrap w:val="0"/>
            <w:vAlign w:val="top"/>
          </w:tcPr>
          <w:p>
            <w:pPr>
              <w:widowControl/>
              <w:ind w:firstLine="420" w:firstLineChars="200"/>
              <w:jc w:val="left"/>
              <w:rPr>
                <w:rFonts w:ascii="仿宋_GB2312" w:hAnsi="仿宋_GB2312" w:eastAsia="仿宋_GB2312" w:cs="仿宋_GB2312"/>
                <w:color w:val="000000"/>
                <w:kern w:val="0"/>
              </w:rPr>
            </w:pPr>
            <w:r>
              <w:rPr>
                <w:rFonts w:hint="eastAsia" w:ascii="仿宋_GB2312" w:hAnsi="仿宋_GB2312" w:eastAsia="仿宋_GB2312" w:cs="仿宋_GB2312"/>
                <w:color w:val="000000"/>
                <w:kern w:val="0"/>
              </w:rPr>
              <w:t>32</w:t>
            </w:r>
          </w:p>
        </w:tc>
        <w:tc>
          <w:tcPr>
            <w:tcW w:w="2117" w:type="dxa"/>
            <w:tcBorders>
              <w:top w:val="single" w:color="C0504D" w:sz="8" w:space="0"/>
              <w:left w:val="single" w:color="C0504D" w:sz="8" w:space="0"/>
              <w:bottom w:val="single" w:color="C0504D" w:sz="8" w:space="0"/>
              <w:right w:val="single" w:color="C0504D" w:sz="8" w:space="0"/>
            </w:tcBorders>
            <w:shd w:val="clear" w:color="auto" w:fill="FFFFFF"/>
            <w:noWrap w:val="0"/>
            <w:vAlign w:val="top"/>
          </w:tcPr>
          <w:p>
            <w:pPr>
              <w:widowControl/>
              <w:jc w:val="center"/>
              <w:rPr>
                <w:rFonts w:ascii="仿宋_GB2312" w:hAnsi="仿宋_GB2312" w:eastAsia="仿宋_GB2312" w:cs="仿宋_GB2312"/>
                <w:color w:val="000000"/>
                <w:kern w:val="0"/>
                <w:lang w:eastAsia="uk-UA"/>
              </w:rPr>
            </w:pPr>
            <w:r>
              <w:rPr>
                <w:rFonts w:hint="eastAsia" w:ascii="仿宋_GB2312" w:hAnsi="仿宋_GB2312" w:eastAsia="仿宋_GB2312" w:cs="仿宋_GB2312"/>
                <w:color w:val="000000"/>
                <w:kern w:val="0"/>
                <w:lang w:eastAsia="uk-UA"/>
              </w:rPr>
              <w:t>北京师范大学出版社</w:t>
            </w:r>
          </w:p>
        </w:tc>
        <w:tc>
          <w:tcPr>
            <w:tcW w:w="1649" w:type="dxa"/>
            <w:tcBorders>
              <w:top w:val="single" w:color="C0504D" w:sz="8" w:space="0"/>
              <w:left w:val="single" w:color="C0504D" w:sz="8" w:space="0"/>
              <w:bottom w:val="single" w:color="C0504D" w:sz="8" w:space="0"/>
              <w:right w:val="single" w:color="C0504D" w:sz="8" w:space="0"/>
            </w:tcBorders>
            <w:shd w:val="clear" w:color="auto" w:fill="FFFFFF"/>
            <w:noWrap w:val="0"/>
            <w:vAlign w:val="top"/>
          </w:tcPr>
          <w:p>
            <w:pPr>
              <w:widowControl/>
              <w:jc w:val="center"/>
              <w:rPr>
                <w:rFonts w:ascii="仿宋_GB2312" w:hAnsi="仿宋_GB2312" w:eastAsia="仿宋_GB2312" w:cs="仿宋_GB2312"/>
                <w:color w:val="000000"/>
                <w:kern w:val="0"/>
                <w:lang w:eastAsia="uk-UA"/>
              </w:rPr>
            </w:pPr>
            <w:r>
              <w:rPr>
                <w:rFonts w:hint="eastAsia" w:ascii="仿宋_GB2312" w:hAnsi="仿宋_GB2312" w:eastAsia="仿宋_GB2312" w:cs="仿宋_GB2312"/>
                <w:color w:val="000000"/>
                <w:kern w:val="0"/>
                <w:lang w:eastAsia="uk-UA"/>
              </w:rPr>
              <w:t>必修</w:t>
            </w:r>
          </w:p>
        </w:tc>
      </w:tr>
    </w:tbl>
    <w:p>
      <w:pPr>
        <w:pStyle w:val="3"/>
        <w:keepNext/>
        <w:keepLines w:val="0"/>
        <w:pageBreakBefore w:val="0"/>
        <w:widowControl w:val="0"/>
        <w:kinsoku/>
        <w:wordWrap/>
        <w:overflowPunct/>
        <w:topLinePunct w:val="0"/>
        <w:autoSpaceDE/>
        <w:autoSpaceDN/>
        <w:bidi w:val="0"/>
        <w:adjustRightInd/>
        <w:snapToGrid/>
        <w:spacing w:line="240" w:lineRule="auto"/>
        <w:textAlignment w:val="auto"/>
        <w:outlineLvl w:val="2"/>
        <w:rPr>
          <w:rFonts w:hint="eastAsia" w:ascii="仿宋_GB2312" w:hAnsi="Times New Roman" w:eastAsia="仿宋_GB2312" w:cs="Times New Roman"/>
          <w:b/>
          <w:bCs/>
          <w:kern w:val="2"/>
          <w:sz w:val="28"/>
          <w:szCs w:val="28"/>
          <w:lang w:val="en-US" w:eastAsia="zh-CN" w:bidi="ar-SA"/>
        </w:rPr>
      </w:pPr>
      <w:bookmarkStart w:id="44" w:name="_Toc9938"/>
      <w:bookmarkStart w:id="45" w:name="_Toc13583"/>
      <w:r>
        <w:rPr>
          <w:rFonts w:hint="eastAsia" w:ascii="仿宋_GB2312" w:hAnsi="Times New Roman" w:eastAsia="仿宋_GB2312" w:cs="Times New Roman"/>
          <w:b/>
          <w:bCs/>
          <w:kern w:val="2"/>
          <w:sz w:val="28"/>
          <w:szCs w:val="28"/>
          <w:lang w:val="en-US" w:eastAsia="zh-CN" w:bidi="ar-SA"/>
        </w:rPr>
        <w:drawing>
          <wp:inline distT="0" distB="0" distL="114300" distR="114300">
            <wp:extent cx="2574925" cy="1898015"/>
            <wp:effectExtent l="0" t="0" r="15875" b="6985"/>
            <wp:docPr id="20" name="图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
                    <pic:cNvPicPr>
                      <a:picLocks noChangeAspect="1"/>
                    </pic:cNvPicPr>
                  </pic:nvPicPr>
                  <pic:blipFill>
                    <a:blip r:embed="rId24"/>
                    <a:stretch>
                      <a:fillRect/>
                    </a:stretch>
                  </pic:blipFill>
                  <pic:spPr>
                    <a:xfrm>
                      <a:off x="0" y="0"/>
                      <a:ext cx="2574925" cy="1898015"/>
                    </a:xfrm>
                    <a:prstGeom prst="rect">
                      <a:avLst/>
                    </a:prstGeom>
                  </pic:spPr>
                </pic:pic>
              </a:graphicData>
            </a:graphic>
          </wp:inline>
        </w:drawing>
      </w:r>
      <w:r>
        <w:rPr>
          <w:rFonts w:hint="eastAsia" w:ascii="仿宋_GB2312" w:hAnsi="Times New Roman" w:eastAsia="仿宋_GB2312" w:cs="Times New Roman"/>
          <w:b/>
          <w:bCs/>
          <w:kern w:val="2"/>
          <w:sz w:val="28"/>
          <w:szCs w:val="28"/>
          <w:lang w:val="en-US" w:eastAsia="zh-CN" w:bidi="ar-SA"/>
        </w:rPr>
        <w:t xml:space="preserve"> </w:t>
      </w:r>
      <w:r>
        <w:rPr>
          <w:rFonts w:hint="eastAsia" w:ascii="仿宋_GB2312" w:hAnsi="Times New Roman" w:eastAsia="仿宋_GB2312" w:cs="Times New Roman"/>
          <w:b/>
          <w:bCs/>
          <w:kern w:val="2"/>
          <w:sz w:val="28"/>
          <w:szCs w:val="28"/>
          <w:lang w:val="en-US" w:eastAsia="zh-CN" w:bidi="ar-SA"/>
        </w:rPr>
        <w:drawing>
          <wp:inline distT="0" distB="0" distL="114300" distR="114300">
            <wp:extent cx="2576195" cy="1898650"/>
            <wp:effectExtent l="0" t="0" r="14605" b="6350"/>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25"/>
                    <a:stretch>
                      <a:fillRect/>
                    </a:stretch>
                  </pic:blipFill>
                  <pic:spPr>
                    <a:xfrm>
                      <a:off x="0" y="0"/>
                      <a:ext cx="2576195" cy="1898650"/>
                    </a:xfrm>
                    <a:prstGeom prst="rect">
                      <a:avLst/>
                    </a:prstGeom>
                  </pic:spPr>
                </pic:pic>
              </a:graphicData>
            </a:graphic>
          </wp:inline>
        </w:drawing>
      </w:r>
    </w:p>
    <w:p>
      <w:pPr>
        <w:jc w:val="center"/>
        <w:rPr>
          <w:rFonts w:hint="default"/>
          <w:lang w:val="en-US" w:eastAsia="zh-CN"/>
        </w:rPr>
      </w:pPr>
      <w:r>
        <w:rPr>
          <w:rFonts w:hint="eastAsia" w:ascii="仿宋_GB2312" w:hAnsi="Times New Roman" w:eastAsia="仿宋_GB2312"/>
          <w:sz w:val="28"/>
          <w:szCs w:val="28"/>
          <w:lang w:val="en-US" w:eastAsia="zh-CN"/>
        </w:rPr>
        <w:t>新生开学第一课</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2"/>
        <w:rPr>
          <w:rFonts w:hint="eastAsia" w:ascii="仿宋_GB2312" w:hAnsi="Times New Roman" w:eastAsia="仿宋_GB2312" w:cs="Times New Roman"/>
          <w:b/>
          <w:bCs/>
          <w:kern w:val="2"/>
          <w:sz w:val="28"/>
          <w:szCs w:val="28"/>
          <w:lang w:val="en-US" w:eastAsia="zh-CN" w:bidi="ar-SA"/>
        </w:rPr>
      </w:pPr>
      <w:r>
        <w:rPr>
          <w:rFonts w:hint="eastAsia" w:ascii="仿宋_GB2312" w:hAnsi="Times New Roman" w:eastAsia="仿宋_GB2312" w:cs="Times New Roman"/>
          <w:b/>
          <w:bCs/>
          <w:kern w:val="2"/>
          <w:sz w:val="28"/>
          <w:szCs w:val="28"/>
          <w:lang w:val="en-US" w:eastAsia="zh-CN" w:bidi="ar-SA"/>
        </w:rPr>
        <w:t>2.3.2团建工作</w:t>
      </w:r>
      <w:bookmarkEnd w:id="44"/>
      <w:bookmarkEnd w:id="45"/>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sz w:val="28"/>
          <w:szCs w:val="28"/>
          <w:lang w:val="en-US" w:eastAsia="uk-UA"/>
        </w:rPr>
      </w:pPr>
      <w:r>
        <w:rPr>
          <w:rFonts w:hint="eastAsia" w:ascii="仿宋_GB2312" w:hAnsi="Times New Roman" w:eastAsia="仿宋_GB2312"/>
          <w:sz w:val="28"/>
          <w:szCs w:val="28"/>
          <w:lang w:val="en-US" w:eastAsia="uk-UA"/>
        </w:rPr>
        <w:t>学校团委在校党总支及上级团委的领导下，紧紧围绕学校党政的工作大局，深入学习贯彻习近平总书记重要讲话精神，本着“尊重学生、理解学生、帮助学生、赢得学生、塑造学生、服务学生”的工作宗旨，以共青团能力建设为核心，以加强和改进团的自身建设为根本，以服务青年学生的成长成才、全面提高学生的综合素质为主线，开拓进取，脚踏实地，营造了良好的校园文化氛围。深入持久开展团员意识教育，以引导学生树立正确的世界观、人生观、价值观为重点，以开展“</w:t>
      </w:r>
      <w:r>
        <w:rPr>
          <w:rFonts w:hint="eastAsia" w:ascii="仿宋_GB2312" w:hAnsi="Times New Roman" w:eastAsia="仿宋_GB2312"/>
          <w:sz w:val="28"/>
          <w:szCs w:val="28"/>
          <w:lang w:val="en-US" w:eastAsia="zh-CN"/>
        </w:rPr>
        <w:t>童心向党</w:t>
      </w:r>
      <w:r>
        <w:rPr>
          <w:rFonts w:hint="eastAsia" w:ascii="仿宋_GB2312" w:hAnsi="Times New Roman" w:eastAsia="仿宋_GB2312"/>
          <w:sz w:val="28"/>
          <w:szCs w:val="28"/>
          <w:lang w:val="en-US" w:eastAsia="uk-UA"/>
        </w:rPr>
        <w:t>”</w:t>
      </w:r>
      <w:r>
        <w:rPr>
          <w:rFonts w:hint="eastAsia" w:ascii="仿宋_GB2312" w:hAnsi="Times New Roman" w:eastAsia="仿宋_GB2312"/>
          <w:sz w:val="28"/>
          <w:szCs w:val="28"/>
          <w:lang w:val="en-US" w:eastAsia="zh-CN"/>
        </w:rPr>
        <w:t>喜迎建党100周年和“永远跟党走，奋斗铸青春”运动员文化教育系列活动</w:t>
      </w:r>
      <w:r>
        <w:rPr>
          <w:rFonts w:hint="eastAsia" w:ascii="仿宋_GB2312" w:hAnsi="Times New Roman" w:eastAsia="仿宋_GB2312"/>
          <w:sz w:val="28"/>
          <w:szCs w:val="28"/>
          <w:lang w:val="en-US" w:eastAsia="uk-UA"/>
        </w:rPr>
        <w:t>等形式多样</w:t>
      </w:r>
      <w:r>
        <w:rPr>
          <w:rFonts w:hint="eastAsia" w:ascii="仿宋_GB2312" w:hAnsi="Times New Roman" w:eastAsia="仿宋_GB2312"/>
          <w:sz w:val="28"/>
          <w:szCs w:val="28"/>
          <w:lang w:val="en-US" w:eastAsia="zh-CN"/>
        </w:rPr>
        <w:t>、</w:t>
      </w:r>
      <w:r>
        <w:rPr>
          <w:rFonts w:hint="eastAsia" w:ascii="仿宋_GB2312" w:hAnsi="Times New Roman" w:eastAsia="仿宋_GB2312"/>
          <w:sz w:val="28"/>
          <w:szCs w:val="28"/>
          <w:lang w:val="en-US" w:eastAsia="uk-UA"/>
        </w:rPr>
        <w:t>丰富多彩的活动为载体，以强烈的使命感、责任心和对学生高度负责的</w:t>
      </w:r>
      <w:r>
        <w:rPr>
          <w:rFonts w:hint="eastAsia" w:ascii="仿宋_GB2312" w:hAnsi="Times New Roman" w:eastAsia="仿宋_GB2312"/>
          <w:sz w:val="28"/>
          <w:szCs w:val="28"/>
          <w:lang w:val="en-US" w:eastAsia="zh-CN"/>
        </w:rPr>
        <w:t>态度，</w:t>
      </w:r>
      <w:r>
        <w:rPr>
          <w:rFonts w:hint="eastAsia" w:ascii="仿宋_GB2312" w:hAnsi="Times New Roman" w:eastAsia="仿宋_GB2312"/>
          <w:sz w:val="28"/>
          <w:szCs w:val="28"/>
          <w:lang w:val="en-US" w:eastAsia="uk-UA"/>
        </w:rPr>
        <w:t>充分发挥团组织的政治敏锐性和先锋模范作用，提高团员学生的思想道德水平，扎实有效地开展好共青团工作！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sz w:val="28"/>
          <w:szCs w:val="28"/>
          <w:lang w:val="en-US" w:eastAsia="uk-UA"/>
        </w:rPr>
      </w:pPr>
      <w:r>
        <w:rPr>
          <w:rFonts w:hint="eastAsia" w:ascii="仿宋_GB2312" w:hAnsi="Times New Roman" w:eastAsia="仿宋_GB2312"/>
          <w:sz w:val="28"/>
          <w:szCs w:val="28"/>
          <w:lang w:val="en-US" w:eastAsia="uk-UA"/>
        </w:rPr>
        <w:t>学校团委重视团组织建设，</w:t>
      </w:r>
      <w:r>
        <w:rPr>
          <w:rFonts w:hint="eastAsia" w:ascii="仿宋_GB2312" w:hAnsi="Times New Roman" w:eastAsia="仿宋_GB2312"/>
          <w:sz w:val="28"/>
          <w:szCs w:val="28"/>
          <w:lang w:val="en-US" w:eastAsia="zh-CN"/>
        </w:rPr>
        <w:t>2021年新成立</w:t>
      </w:r>
      <w:r>
        <w:rPr>
          <w:rFonts w:hint="eastAsia" w:ascii="仿宋_GB2312" w:hAnsi="Times New Roman" w:eastAsia="仿宋_GB2312"/>
          <w:sz w:val="28"/>
          <w:szCs w:val="28"/>
          <w:lang w:val="en-US" w:eastAsia="uk-UA"/>
        </w:rPr>
        <w:t>团支部</w:t>
      </w:r>
      <w:r>
        <w:rPr>
          <w:rFonts w:hint="eastAsia" w:ascii="仿宋_GB2312" w:hAnsi="Times New Roman" w:eastAsia="仿宋_GB2312"/>
          <w:sz w:val="28"/>
          <w:szCs w:val="28"/>
          <w:lang w:val="en-US" w:eastAsia="zh-CN"/>
        </w:rPr>
        <w:t>3个</w:t>
      </w:r>
      <w:r>
        <w:rPr>
          <w:rFonts w:hint="eastAsia" w:ascii="仿宋_GB2312" w:hAnsi="Times New Roman" w:eastAsia="仿宋_GB2312"/>
          <w:sz w:val="28"/>
          <w:szCs w:val="28"/>
          <w:lang w:val="en-US" w:eastAsia="uk-UA"/>
        </w:rPr>
        <w:t>，</w:t>
      </w:r>
      <w:r>
        <w:rPr>
          <w:rFonts w:hint="eastAsia" w:ascii="仿宋_GB2312" w:hAnsi="Times New Roman" w:eastAsia="仿宋_GB2312"/>
          <w:sz w:val="28"/>
          <w:szCs w:val="28"/>
          <w:lang w:val="en-US" w:eastAsia="zh-CN"/>
        </w:rPr>
        <w:t>发展</w:t>
      </w:r>
      <w:r>
        <w:rPr>
          <w:rFonts w:hint="eastAsia" w:ascii="仿宋_GB2312" w:hAnsi="Times New Roman" w:eastAsia="仿宋_GB2312"/>
          <w:sz w:val="28"/>
          <w:szCs w:val="28"/>
          <w:lang w:val="en-US" w:eastAsia="uk-UA"/>
        </w:rPr>
        <w:t>新团员</w:t>
      </w:r>
      <w:r>
        <w:rPr>
          <w:rFonts w:hint="eastAsia" w:ascii="仿宋_GB2312" w:hAnsi="Times New Roman" w:eastAsia="仿宋_GB2312"/>
          <w:sz w:val="28"/>
          <w:szCs w:val="28"/>
          <w:lang w:val="en-US" w:eastAsia="zh-CN"/>
        </w:rPr>
        <w:t>40人</w:t>
      </w:r>
      <w:r>
        <w:rPr>
          <w:rFonts w:hint="eastAsia" w:ascii="仿宋_GB2312" w:hAnsi="Times New Roman" w:eastAsia="仿宋_GB2312"/>
          <w:sz w:val="28"/>
          <w:szCs w:val="28"/>
          <w:lang w:val="en-US" w:eastAsia="uk-UA"/>
        </w:rPr>
        <w:t>，补充新鲜血液，团员在学校学生的各项工作和活动中，都能起到积极的模范带头作用。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sz w:val="28"/>
          <w:szCs w:val="28"/>
          <w:lang w:val="en-US" w:eastAsia="uk-UA"/>
        </w:rPr>
      </w:pPr>
      <w:r>
        <w:rPr>
          <w:rFonts w:hint="eastAsia" w:ascii="仿宋_GB2312" w:hAnsi="Times New Roman" w:eastAsia="仿宋_GB2312"/>
          <w:sz w:val="28"/>
          <w:szCs w:val="28"/>
          <w:lang w:val="en-US" w:eastAsia="uk-UA"/>
        </w:rPr>
        <w:t>校团委组织我校5名</w:t>
      </w:r>
      <w:r>
        <w:rPr>
          <w:rFonts w:hint="eastAsia" w:ascii="仿宋_GB2312" w:hAnsi="Times New Roman" w:eastAsia="仿宋_GB2312"/>
          <w:sz w:val="28"/>
          <w:szCs w:val="28"/>
          <w:lang w:val="en-US" w:eastAsia="zh-CN"/>
        </w:rPr>
        <w:t>团员</w:t>
      </w:r>
      <w:r>
        <w:rPr>
          <w:rFonts w:hint="eastAsia" w:ascii="仿宋_GB2312" w:hAnsi="Times New Roman" w:eastAsia="仿宋_GB2312"/>
          <w:sz w:val="28"/>
          <w:szCs w:val="28"/>
          <w:lang w:val="en-US" w:eastAsia="uk-UA"/>
        </w:rPr>
        <w:t>参加了</w:t>
      </w:r>
      <w:r>
        <w:rPr>
          <w:rFonts w:hint="eastAsia" w:ascii="仿宋_GB2312" w:hAnsi="Times New Roman" w:eastAsia="仿宋_GB2312"/>
          <w:sz w:val="28"/>
          <w:szCs w:val="28"/>
          <w:lang w:val="en-US" w:eastAsia="zh-CN"/>
        </w:rPr>
        <w:t>共青团市委组织的“学党史、悟思想、办实事、开新局”</w:t>
      </w:r>
      <w:r>
        <w:rPr>
          <w:rFonts w:hint="eastAsia" w:ascii="仿宋_GB2312" w:hAnsi="Times New Roman" w:eastAsia="仿宋_GB2312"/>
          <w:sz w:val="28"/>
          <w:szCs w:val="28"/>
          <w:lang w:val="en-US" w:eastAsia="uk-UA"/>
        </w:rPr>
        <w:t>社会实践活动，</w:t>
      </w:r>
      <w:r>
        <w:rPr>
          <w:rFonts w:hint="eastAsia" w:ascii="仿宋_GB2312" w:hAnsi="Times New Roman" w:eastAsia="仿宋_GB2312"/>
          <w:sz w:val="28"/>
          <w:szCs w:val="28"/>
          <w:lang w:val="en-US" w:eastAsia="zh-CN"/>
        </w:rPr>
        <w:t>通过本次活动让更多青年学生深深地感受到：今天和平安逸的生活，是革命先辈们用生命和鲜血换来的。我们不能忘记历史，不能忘记革命精神，要继承革命先辈的伟大事业，把对先烈的无限缅怀化为现实中不懈奋进的动力，做一个对社会有用的人，</w:t>
      </w:r>
      <w:r>
        <w:rPr>
          <w:rFonts w:hint="eastAsia" w:ascii="仿宋_GB2312" w:hAnsi="Times New Roman" w:eastAsia="仿宋_GB2312"/>
          <w:sz w:val="28"/>
          <w:szCs w:val="28"/>
          <w:lang w:val="en-US" w:eastAsia="uk-UA"/>
        </w:rPr>
        <w:t>为祖国</w:t>
      </w:r>
      <w:r>
        <w:rPr>
          <w:rFonts w:hint="eastAsia" w:ascii="仿宋_GB2312" w:hAnsi="Times New Roman" w:eastAsia="仿宋_GB2312"/>
          <w:sz w:val="28"/>
          <w:szCs w:val="28"/>
          <w:lang w:val="en-US" w:eastAsia="zh-CN"/>
        </w:rPr>
        <w:t>的繁荣富强</w:t>
      </w:r>
      <w:r>
        <w:rPr>
          <w:rFonts w:hint="eastAsia" w:ascii="仿宋_GB2312" w:hAnsi="Times New Roman" w:eastAsia="仿宋_GB2312"/>
          <w:sz w:val="28"/>
          <w:szCs w:val="28"/>
          <w:lang w:val="en-US" w:eastAsia="uk-UA"/>
        </w:rPr>
        <w:t>做出更大的贡献。</w:t>
      </w:r>
    </w:p>
    <w:p>
      <w:pPr>
        <w:spacing w:line="360" w:lineRule="auto"/>
        <w:rPr>
          <w:rFonts w:ascii="仿宋" w:hAnsi="仿宋" w:eastAsia="仿宋" w:cs="仿宋"/>
          <w:sz w:val="28"/>
          <w:szCs w:val="28"/>
        </w:rPr>
      </w:pPr>
      <w:r>
        <w:rPr>
          <w:rFonts w:hint="eastAsia" w:ascii="仿宋" w:hAnsi="仿宋" w:eastAsia="仿宋" w:cs="仿宋"/>
          <w:sz w:val="28"/>
          <w:szCs w:val="28"/>
          <w:lang w:eastAsia="zh-CN"/>
        </w:rPr>
        <w:drawing>
          <wp:inline distT="0" distB="0" distL="114300" distR="114300">
            <wp:extent cx="2533015" cy="1899920"/>
            <wp:effectExtent l="0" t="0" r="635" b="5080"/>
            <wp:docPr id="136" name="图片 136" descr="4ccf50c473162e722a3c92b95ec99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4ccf50c473162e722a3c92b95ec99ff"/>
                    <pic:cNvPicPr>
                      <a:picLocks noChangeAspect="1"/>
                    </pic:cNvPicPr>
                  </pic:nvPicPr>
                  <pic:blipFill>
                    <a:blip r:embed="rId26"/>
                    <a:stretch>
                      <a:fillRect/>
                    </a:stretch>
                  </pic:blipFill>
                  <pic:spPr>
                    <a:xfrm>
                      <a:off x="0" y="0"/>
                      <a:ext cx="2533015" cy="1899920"/>
                    </a:xfrm>
                    <a:prstGeom prst="rect">
                      <a:avLst/>
                    </a:prstGeom>
                  </pic:spPr>
                </pic:pic>
              </a:graphicData>
            </a:graphic>
          </wp:inline>
        </w:draw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drawing>
          <wp:inline distT="0" distB="0" distL="114300" distR="114300">
            <wp:extent cx="2647950" cy="1892300"/>
            <wp:effectExtent l="0" t="0" r="0" b="12700"/>
            <wp:docPr id="137" name="图片 137" descr="10ac7d710caa70a5525fa99ba2a1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10ac7d710caa70a5525fa99ba2a1e99"/>
                    <pic:cNvPicPr>
                      <a:picLocks noChangeAspect="1"/>
                    </pic:cNvPicPr>
                  </pic:nvPicPr>
                  <pic:blipFill>
                    <a:blip r:embed="rId27"/>
                    <a:stretch>
                      <a:fillRect/>
                    </a:stretch>
                  </pic:blipFill>
                  <pic:spPr>
                    <a:xfrm>
                      <a:off x="0" y="0"/>
                      <a:ext cx="2647950" cy="1892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Times New Roman" w:eastAsia="仿宋_GB2312"/>
          <w:sz w:val="28"/>
          <w:szCs w:val="28"/>
          <w:lang w:val="en-US" w:eastAsia="uk-UA"/>
        </w:rPr>
      </w:pPr>
      <w:r>
        <w:rPr>
          <w:rFonts w:hint="eastAsia" w:ascii="仿宋_GB2312" w:hAnsi="Times New Roman" w:eastAsia="仿宋_GB2312"/>
          <w:sz w:val="28"/>
          <w:szCs w:val="28"/>
          <w:lang w:val="en-US" w:eastAsia="uk-UA"/>
        </w:rPr>
        <w:t>社会实践活动</w:t>
      </w:r>
    </w:p>
    <w:p>
      <w:pPr>
        <w:spacing w:line="360" w:lineRule="auto"/>
        <w:ind w:firstLine="560" w:firstLineChars="200"/>
        <w:rPr>
          <w:rFonts w:ascii="仿宋" w:hAnsi="仿宋" w:eastAsia="仿宋" w:cs="仿宋"/>
          <w:sz w:val="28"/>
          <w:szCs w:val="28"/>
        </w:rPr>
      </w:pPr>
      <w:r>
        <w:rPr>
          <w:rFonts w:hint="eastAsia" w:ascii="仿宋_GB2312" w:hAnsi="Times New Roman" w:eastAsia="仿宋_GB2312"/>
          <w:sz w:val="28"/>
          <w:szCs w:val="28"/>
          <w:lang w:val="en-US" w:eastAsia="uk-UA"/>
        </w:rPr>
        <w:t>总之，学校德育工作开展有序，发展良好，使学生在爱国主义、集体主义教育、职业道德和行为规范教育等方面都得到提高。</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2"/>
        <w:rPr>
          <w:rFonts w:hint="eastAsia" w:ascii="仿宋_GB2312" w:hAnsi="Times New Roman" w:eastAsia="仿宋_GB2312" w:cs="Times New Roman"/>
          <w:b/>
          <w:bCs/>
          <w:kern w:val="2"/>
          <w:sz w:val="28"/>
          <w:szCs w:val="28"/>
          <w:lang w:val="en-US" w:eastAsia="zh-CN" w:bidi="ar-SA"/>
        </w:rPr>
      </w:pPr>
      <w:bookmarkStart w:id="46" w:name="_Toc4188"/>
      <w:bookmarkStart w:id="47" w:name="_Toc2854"/>
      <w:r>
        <w:rPr>
          <w:rFonts w:hint="eastAsia" w:ascii="仿宋_GB2312" w:hAnsi="Times New Roman" w:eastAsia="仿宋_GB2312" w:cs="Times New Roman"/>
          <w:b/>
          <w:bCs/>
          <w:kern w:val="2"/>
          <w:sz w:val="28"/>
          <w:szCs w:val="28"/>
          <w:lang w:val="en-US" w:eastAsia="zh-CN" w:bidi="ar-SA"/>
        </w:rPr>
        <w:t>2.3.3心理健康</w:t>
      </w:r>
      <w:bookmarkEnd w:id="46"/>
      <w:bookmarkEnd w:id="47"/>
    </w:p>
    <w:p>
      <w:pPr>
        <w:spacing w:line="360" w:lineRule="auto"/>
        <w:ind w:firstLine="560" w:firstLineChars="200"/>
        <w:rPr>
          <w:rFonts w:hint="eastAsia" w:ascii="仿宋_GB2312" w:hAnsi="Times New Roman" w:eastAsia="仿宋_GB2312"/>
          <w:sz w:val="28"/>
          <w:szCs w:val="28"/>
          <w:lang w:val="en-US" w:eastAsia="uk-UA"/>
        </w:rPr>
      </w:pPr>
      <w:r>
        <w:rPr>
          <w:rFonts w:hint="eastAsia" w:ascii="仿宋_GB2312" w:hAnsi="Times New Roman" w:eastAsia="仿宋_GB2312"/>
          <w:sz w:val="28"/>
          <w:szCs w:val="28"/>
          <w:lang w:val="en-US" w:eastAsia="uk-UA"/>
        </w:rPr>
        <w:t>学校建立心理咨询室，由专业老师及经验丰富的班主任担任心理咨询老师，及时发现解决学生的心理问题，满足学生的基本心理辅导的需要。我校努力给学生营造一个积极健康的心灵成长环境，不仅提高学生的心理素质，开发学生的心理潜能，塑造学生的良好人格，也进一步推动学校素质教育的全面实施。</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1"/>
        <w:rPr>
          <w:rFonts w:hint="eastAsia" w:ascii="仿宋_GB2312" w:hAnsi="Times New Roman" w:eastAsia="仿宋_GB2312" w:cs="Times New Roman"/>
          <w:b/>
          <w:bCs/>
          <w:kern w:val="2"/>
          <w:sz w:val="28"/>
          <w:szCs w:val="28"/>
          <w:lang w:val="en-US" w:eastAsia="zh-CN" w:bidi="ar-SA"/>
        </w:rPr>
      </w:pPr>
      <w:bookmarkStart w:id="48" w:name="_Toc3494"/>
      <w:bookmarkStart w:id="49" w:name="_Toc19160"/>
      <w:r>
        <w:rPr>
          <w:rFonts w:hint="eastAsia" w:ascii="仿宋_GB2312" w:hAnsi="Times New Roman" w:eastAsia="仿宋_GB2312" w:cs="Times New Roman"/>
          <w:b/>
          <w:bCs/>
          <w:kern w:val="2"/>
          <w:sz w:val="28"/>
          <w:szCs w:val="28"/>
          <w:lang w:val="en-US" w:eastAsia="zh-CN" w:bidi="ar-SA"/>
        </w:rPr>
        <w:t>2.4在校生发展</w:t>
      </w:r>
      <w:bookmarkEnd w:id="48"/>
      <w:bookmarkEnd w:id="49"/>
    </w:p>
    <w:p>
      <w:pPr>
        <w:spacing w:line="360" w:lineRule="auto"/>
        <w:ind w:firstLine="560" w:firstLineChars="200"/>
        <w:rPr>
          <w:rFonts w:hint="eastAsia" w:ascii="仿宋_GB2312" w:hAnsi="Times New Roman" w:eastAsia="仿宋_GB2312"/>
          <w:sz w:val="28"/>
          <w:szCs w:val="28"/>
          <w:lang w:val="en-US" w:eastAsia="uk-UA"/>
        </w:rPr>
      </w:pPr>
      <w:r>
        <w:rPr>
          <w:rFonts w:hint="eastAsia" w:ascii="仿宋_GB2312" w:hAnsi="Times New Roman" w:eastAsia="仿宋_GB2312"/>
          <w:sz w:val="28"/>
          <w:szCs w:val="28"/>
          <w:lang w:val="en-US" w:eastAsia="uk-UA"/>
        </w:rPr>
        <w:t>学校实行全封闭管理，校园生活内容对学生成长的影响至关重要。为了营造更加适宜学生的生活环境，学校从教学、训练内容、教学模式、管理模式 、校园环境、校园文化建设、后勤保障等方面不断改进提升。</w:t>
      </w:r>
    </w:p>
    <w:p>
      <w:pPr>
        <w:spacing w:line="360" w:lineRule="auto"/>
        <w:ind w:firstLine="560" w:firstLineChars="200"/>
        <w:rPr>
          <w:rFonts w:hint="eastAsia" w:ascii="仿宋_GB2312" w:hAnsi="Times New Roman" w:eastAsia="仿宋_GB2312"/>
          <w:sz w:val="28"/>
          <w:szCs w:val="28"/>
          <w:lang w:val="en-US" w:eastAsia="uk-UA"/>
        </w:rPr>
      </w:pPr>
      <w:r>
        <w:rPr>
          <w:rFonts w:hint="eastAsia" w:ascii="仿宋_GB2312" w:hAnsi="Times New Roman" w:eastAsia="仿宋_GB2312"/>
          <w:sz w:val="28"/>
          <w:szCs w:val="28"/>
          <w:lang w:val="en-US" w:eastAsia="uk-UA"/>
        </w:rPr>
        <w:t>经统计，2021年我校学生对校园文化满意度达98.21％、对社团活动满意度达95.5％、对生活满意度达97.91%</w:t>
      </w:r>
      <w:r>
        <w:rPr>
          <w:rFonts w:hint="eastAsia" w:ascii="仿宋_GB2312" w:hAnsi="Times New Roman" w:eastAsia="仿宋_GB2312"/>
          <w:sz w:val="28"/>
          <w:szCs w:val="28"/>
          <w:lang w:val="en-US" w:eastAsia="zh-CN"/>
        </w:rPr>
        <w:t>、</w:t>
      </w:r>
      <w:r>
        <w:rPr>
          <w:rFonts w:hint="eastAsia" w:ascii="仿宋_GB2312" w:hAnsi="Times New Roman" w:eastAsia="仿宋_GB2312"/>
          <w:sz w:val="28"/>
          <w:szCs w:val="28"/>
          <w:lang w:val="en-US" w:eastAsia="uk-UA"/>
        </w:rPr>
        <w:t>对校园安全满意度</w:t>
      </w:r>
      <w:r>
        <w:rPr>
          <w:rFonts w:hint="eastAsia" w:ascii="仿宋_GB2312" w:hAnsi="Times New Roman" w:eastAsia="仿宋_GB2312"/>
          <w:sz w:val="28"/>
          <w:szCs w:val="28"/>
          <w:lang w:val="en-US" w:eastAsia="zh-CN"/>
        </w:rPr>
        <w:t>达</w:t>
      </w:r>
      <w:r>
        <w:rPr>
          <w:rFonts w:hint="eastAsia" w:ascii="仿宋_GB2312" w:hAnsi="Times New Roman" w:eastAsia="仿宋_GB2312"/>
          <w:sz w:val="28"/>
          <w:szCs w:val="28"/>
          <w:lang w:val="en-US" w:eastAsia="uk-UA"/>
        </w:rPr>
        <w:t>97.36％</w:t>
      </w:r>
      <w:r>
        <w:rPr>
          <w:rFonts w:hint="eastAsia" w:ascii="仿宋_GB2312" w:hAnsi="Times New Roman" w:eastAsia="仿宋_GB2312"/>
          <w:sz w:val="28"/>
          <w:szCs w:val="28"/>
          <w:lang w:val="en-US" w:eastAsia="zh-CN"/>
        </w:rPr>
        <w:t>、</w:t>
      </w:r>
      <w:r>
        <w:rPr>
          <w:rFonts w:hint="eastAsia" w:ascii="仿宋_GB2312" w:hAnsi="Times New Roman" w:eastAsia="仿宋_GB2312"/>
          <w:sz w:val="28"/>
          <w:szCs w:val="28"/>
          <w:lang w:val="en-US" w:eastAsia="uk-UA"/>
        </w:rPr>
        <w:t>毕业学生对学校满意度达到98.9%。</w:t>
      </w:r>
    </w:p>
    <w:p>
      <w:pPr>
        <w:spacing w:line="360" w:lineRule="auto"/>
        <w:ind w:firstLine="562" w:firstLineChars="200"/>
        <w:jc w:val="center"/>
        <w:rPr>
          <w:rFonts w:hint="eastAsia" w:ascii="仿宋_GB2312" w:hAnsi="Times New Roman" w:eastAsia="仿宋_GB2312"/>
          <w:b/>
          <w:bCs/>
          <w:sz w:val="28"/>
          <w:szCs w:val="28"/>
          <w:lang w:val="en-US" w:eastAsia="uk-UA"/>
        </w:rPr>
      </w:pPr>
      <w:r>
        <w:rPr>
          <w:rFonts w:hint="eastAsia" w:ascii="仿宋_GB2312" w:hAnsi="Times New Roman" w:eastAsia="仿宋_GB2312"/>
          <w:b/>
          <w:bCs/>
          <w:sz w:val="28"/>
          <w:szCs w:val="28"/>
          <w:lang w:val="en-US" w:eastAsia="uk-UA"/>
        </w:rPr>
        <w:t>学生在校活动满意度调查统计表</w:t>
      </w:r>
    </w:p>
    <w:tbl>
      <w:tblPr>
        <w:tblStyle w:val="14"/>
        <w:tblW w:w="85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8"/>
        <w:gridCol w:w="854"/>
        <w:gridCol w:w="753"/>
        <w:gridCol w:w="783"/>
        <w:gridCol w:w="845"/>
        <w:gridCol w:w="846"/>
        <w:gridCol w:w="744"/>
        <w:gridCol w:w="774"/>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108" w:type="dxa"/>
            <w:vMerge w:val="restart"/>
            <w:tcBorders>
              <w:top w:val="single" w:color="F79646" w:sz="8" w:space="0"/>
              <w:left w:val="single" w:color="F79646" w:sz="8" w:space="0"/>
              <w:bottom w:val="single" w:color="FFFFFF" w:sz="18" w:space="0"/>
              <w:right w:val="single" w:color="F79646" w:sz="8" w:space="0"/>
            </w:tcBorders>
            <w:shd w:val="clear" w:color="auto" w:fill="F79646"/>
            <w:vAlign w:val="center"/>
          </w:tcPr>
          <w:p>
            <w:pPr>
              <w:jc w:val="center"/>
              <w:rPr>
                <w:rFonts w:ascii="仿宋_GB2312" w:hAnsi="仿宋_GB2312" w:eastAsia="仿宋_GB2312" w:cs="仿宋_GB2312"/>
                <w:color w:val="FFFFFF"/>
              </w:rPr>
            </w:pPr>
            <w:r>
              <w:rPr>
                <w:rFonts w:hint="eastAsia" w:ascii="仿宋_GB2312" w:hAnsi="仿宋_GB2312" w:eastAsia="仿宋_GB2312" w:cs="仿宋_GB2312"/>
                <w:color w:val="FFFFFF"/>
              </w:rPr>
              <w:t>调查项目</w:t>
            </w:r>
          </w:p>
        </w:tc>
        <w:tc>
          <w:tcPr>
            <w:tcW w:w="3235" w:type="dxa"/>
            <w:gridSpan w:val="4"/>
            <w:tcBorders>
              <w:top w:val="single" w:color="F79646" w:sz="8" w:space="0"/>
              <w:left w:val="single" w:color="F79646" w:sz="8" w:space="0"/>
              <w:bottom w:val="single" w:color="FFFFFF" w:sz="18" w:space="0"/>
              <w:right w:val="single" w:color="F79646" w:sz="8" w:space="0"/>
            </w:tcBorders>
            <w:shd w:val="clear" w:color="auto" w:fill="F79646"/>
            <w:vAlign w:val="center"/>
          </w:tcPr>
          <w:p>
            <w:pPr>
              <w:ind w:firstLine="420" w:firstLineChars="200"/>
              <w:jc w:val="center"/>
              <w:rPr>
                <w:rFonts w:ascii="仿宋_GB2312" w:hAnsi="仿宋_GB2312" w:eastAsia="仿宋_GB2312" w:cs="仿宋_GB2312"/>
                <w:color w:val="FFFFFF"/>
              </w:rPr>
            </w:pPr>
            <w:r>
              <w:rPr>
                <w:rFonts w:hint="eastAsia" w:ascii="仿宋_GB2312" w:hAnsi="仿宋_GB2312" w:eastAsia="仿宋_GB2312" w:cs="仿宋_GB2312"/>
                <w:color w:val="FFFFFF"/>
              </w:rPr>
              <w:t>2020级学生（340人）</w:t>
            </w:r>
          </w:p>
        </w:tc>
        <w:tc>
          <w:tcPr>
            <w:tcW w:w="3198" w:type="dxa"/>
            <w:gridSpan w:val="4"/>
            <w:tcBorders>
              <w:top w:val="single" w:color="F79646" w:sz="8" w:space="0"/>
              <w:left w:val="single" w:color="F79646" w:sz="8" w:space="0"/>
              <w:bottom w:val="single" w:color="FFFFFF" w:sz="18" w:space="0"/>
              <w:right w:val="single" w:color="F79646" w:sz="8" w:space="0"/>
            </w:tcBorders>
            <w:shd w:val="clear" w:color="auto" w:fill="F79646"/>
            <w:vAlign w:val="center"/>
          </w:tcPr>
          <w:p>
            <w:pPr>
              <w:ind w:firstLine="420" w:firstLineChars="200"/>
              <w:jc w:val="center"/>
              <w:rPr>
                <w:rFonts w:ascii="仿宋_GB2312" w:hAnsi="仿宋_GB2312" w:eastAsia="仿宋_GB2312" w:cs="仿宋_GB2312"/>
                <w:color w:val="FFFFFF"/>
              </w:rPr>
            </w:pPr>
            <w:r>
              <w:rPr>
                <w:rFonts w:hint="eastAsia" w:ascii="仿宋_GB2312" w:hAnsi="仿宋_GB2312" w:eastAsia="仿宋_GB2312" w:cs="仿宋_GB2312"/>
                <w:color w:val="FFFFFF"/>
              </w:rPr>
              <w:t>2021级学生（340）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08" w:type="dxa"/>
            <w:vMerge w:val="continue"/>
            <w:tcBorders>
              <w:top w:val="single" w:color="FFFFFF" w:sz="18" w:space="0"/>
              <w:left w:val="single" w:color="F79646" w:sz="8" w:space="0"/>
              <w:bottom w:val="single" w:color="F79646" w:sz="8" w:space="0"/>
              <w:right w:val="single" w:color="F79646" w:sz="8" w:space="0"/>
            </w:tcBorders>
            <w:shd w:val="clear" w:color="auto" w:fill="FBD5B5"/>
            <w:vAlign w:val="center"/>
          </w:tcPr>
          <w:p>
            <w:pPr>
              <w:ind w:firstLine="420" w:firstLineChars="200"/>
              <w:jc w:val="center"/>
              <w:rPr>
                <w:rFonts w:ascii="仿宋_GB2312" w:hAnsi="仿宋_GB2312" w:eastAsia="仿宋_GB2312" w:cs="仿宋_GB2312"/>
                <w:color w:val="000000"/>
              </w:rPr>
            </w:pPr>
          </w:p>
        </w:tc>
        <w:tc>
          <w:tcPr>
            <w:tcW w:w="854" w:type="dxa"/>
            <w:tcBorders>
              <w:top w:val="single" w:color="FFFFFF" w:sz="18" w:space="0"/>
              <w:left w:val="single" w:color="F79646" w:sz="8" w:space="0"/>
              <w:bottom w:val="single" w:color="F79646" w:sz="8" w:space="0"/>
              <w:right w:val="single" w:color="F79646" w:sz="8" w:space="0"/>
            </w:tcBorders>
            <w:shd w:val="clear" w:color="auto" w:fill="FBD5B5"/>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有效问卷（份）</w:t>
            </w:r>
          </w:p>
        </w:tc>
        <w:tc>
          <w:tcPr>
            <w:tcW w:w="2381" w:type="dxa"/>
            <w:gridSpan w:val="3"/>
            <w:tcBorders>
              <w:top w:val="single" w:color="FFFFFF" w:sz="18" w:space="0"/>
              <w:left w:val="single" w:color="F79646" w:sz="8" w:space="0"/>
              <w:bottom w:val="single" w:color="F79646" w:sz="8" w:space="0"/>
              <w:right w:val="single" w:color="F79646" w:sz="8" w:space="0"/>
            </w:tcBorders>
            <w:shd w:val="clear" w:color="auto" w:fill="FBD5B5"/>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满意度（%）</w:t>
            </w:r>
          </w:p>
        </w:tc>
        <w:tc>
          <w:tcPr>
            <w:tcW w:w="846" w:type="dxa"/>
            <w:vMerge w:val="restart"/>
            <w:tcBorders>
              <w:top w:val="single" w:color="FFFFFF" w:sz="18" w:space="0"/>
              <w:left w:val="single" w:color="F79646" w:sz="8" w:space="0"/>
              <w:bottom w:val="single" w:color="F79646" w:sz="8" w:space="0"/>
              <w:right w:val="single" w:color="F79646" w:sz="8" w:space="0"/>
            </w:tcBorders>
            <w:shd w:val="clear" w:color="auto" w:fill="FBD5B5"/>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有效问卷（份）</w:t>
            </w:r>
          </w:p>
        </w:tc>
        <w:tc>
          <w:tcPr>
            <w:tcW w:w="2352" w:type="dxa"/>
            <w:gridSpan w:val="3"/>
            <w:tcBorders>
              <w:top w:val="single" w:color="FFFFFF" w:sz="18" w:space="0"/>
              <w:left w:val="single" w:color="F79646" w:sz="8" w:space="0"/>
              <w:bottom w:val="single" w:color="F79646" w:sz="8" w:space="0"/>
              <w:right w:val="single" w:color="F79646" w:sz="8" w:space="0"/>
            </w:tcBorders>
            <w:shd w:val="clear" w:color="auto" w:fill="FBD5B5"/>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108" w:type="dxa"/>
            <w:vMerge w:val="continue"/>
            <w:tcBorders>
              <w:top w:val="single" w:color="F79646" w:sz="8" w:space="0"/>
              <w:left w:val="single" w:color="F79646" w:sz="8" w:space="0"/>
              <w:bottom w:val="single" w:color="F79646" w:sz="8" w:space="0"/>
              <w:right w:val="single" w:color="F79646" w:sz="8" w:space="0"/>
            </w:tcBorders>
            <w:shd w:val="clear" w:color="auto" w:fill="FFFFFF"/>
            <w:vAlign w:val="center"/>
          </w:tcPr>
          <w:p>
            <w:pPr>
              <w:ind w:firstLine="420" w:firstLineChars="200"/>
              <w:jc w:val="center"/>
              <w:rPr>
                <w:rFonts w:ascii="仿宋_GB2312" w:hAnsi="仿宋_GB2312" w:eastAsia="仿宋_GB2312" w:cs="仿宋_GB2312"/>
                <w:color w:val="000000"/>
              </w:rPr>
            </w:pPr>
          </w:p>
        </w:tc>
        <w:tc>
          <w:tcPr>
            <w:tcW w:w="854"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p>
        </w:tc>
        <w:tc>
          <w:tcPr>
            <w:tcW w:w="753"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满意</w:t>
            </w:r>
          </w:p>
        </w:tc>
        <w:tc>
          <w:tcPr>
            <w:tcW w:w="783"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基本  满意</w:t>
            </w:r>
          </w:p>
        </w:tc>
        <w:tc>
          <w:tcPr>
            <w:tcW w:w="845"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不  满意</w:t>
            </w:r>
          </w:p>
        </w:tc>
        <w:tc>
          <w:tcPr>
            <w:tcW w:w="846" w:type="dxa"/>
            <w:vMerge w:val="continue"/>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p>
        </w:tc>
        <w:tc>
          <w:tcPr>
            <w:tcW w:w="744"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满意</w:t>
            </w:r>
          </w:p>
        </w:tc>
        <w:tc>
          <w:tcPr>
            <w:tcW w:w="774"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基本  满意</w:t>
            </w:r>
          </w:p>
        </w:tc>
        <w:tc>
          <w:tcPr>
            <w:tcW w:w="834"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不  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8" w:type="dxa"/>
            <w:tcBorders>
              <w:top w:val="single" w:color="F79646" w:sz="8" w:space="0"/>
              <w:left w:val="single" w:color="F79646" w:sz="8" w:space="0"/>
              <w:bottom w:val="single" w:color="F79646" w:sz="8" w:space="0"/>
              <w:right w:val="single" w:color="F79646" w:sz="8" w:space="0"/>
            </w:tcBorders>
            <w:shd w:val="clear" w:color="auto" w:fill="FBD5B5"/>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对校园文化满意度</w:t>
            </w:r>
          </w:p>
        </w:tc>
        <w:tc>
          <w:tcPr>
            <w:tcW w:w="854" w:type="dxa"/>
            <w:tcBorders>
              <w:top w:val="single" w:color="F79646" w:sz="8" w:space="0"/>
              <w:left w:val="single" w:color="F79646" w:sz="8" w:space="0"/>
              <w:bottom w:val="single" w:color="F79646" w:sz="8" w:space="0"/>
              <w:right w:val="single" w:color="F79646" w:sz="8" w:space="0"/>
            </w:tcBorders>
            <w:shd w:val="clear" w:color="auto" w:fill="FBD5B5"/>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335</w:t>
            </w:r>
          </w:p>
        </w:tc>
        <w:tc>
          <w:tcPr>
            <w:tcW w:w="753" w:type="dxa"/>
            <w:tcBorders>
              <w:top w:val="single" w:color="F79646" w:sz="8" w:space="0"/>
              <w:left w:val="single" w:color="F79646" w:sz="8" w:space="0"/>
              <w:bottom w:val="single" w:color="F79646" w:sz="8" w:space="0"/>
              <w:right w:val="single" w:color="F79646" w:sz="8" w:space="0"/>
            </w:tcBorders>
            <w:shd w:val="clear" w:color="auto" w:fill="FBD5B5"/>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70.45</w:t>
            </w:r>
          </w:p>
        </w:tc>
        <w:tc>
          <w:tcPr>
            <w:tcW w:w="783" w:type="dxa"/>
            <w:tcBorders>
              <w:top w:val="single" w:color="F79646" w:sz="8" w:space="0"/>
              <w:left w:val="single" w:color="F79646" w:sz="8" w:space="0"/>
              <w:bottom w:val="single" w:color="F79646" w:sz="8" w:space="0"/>
              <w:right w:val="single" w:color="F79646" w:sz="8" w:space="0"/>
            </w:tcBorders>
            <w:shd w:val="clear" w:color="auto" w:fill="FBD5B5"/>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27.46</w:t>
            </w:r>
          </w:p>
        </w:tc>
        <w:tc>
          <w:tcPr>
            <w:tcW w:w="845" w:type="dxa"/>
            <w:tcBorders>
              <w:top w:val="single" w:color="F79646" w:sz="8" w:space="0"/>
              <w:left w:val="single" w:color="F79646" w:sz="8" w:space="0"/>
              <w:bottom w:val="single" w:color="F79646" w:sz="8" w:space="0"/>
              <w:right w:val="single" w:color="F79646" w:sz="8" w:space="0"/>
            </w:tcBorders>
            <w:shd w:val="clear" w:color="auto" w:fill="FBD5B5"/>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1.2</w:t>
            </w:r>
          </w:p>
        </w:tc>
        <w:tc>
          <w:tcPr>
            <w:tcW w:w="846" w:type="dxa"/>
            <w:tcBorders>
              <w:top w:val="single" w:color="F79646" w:sz="8" w:space="0"/>
              <w:left w:val="single" w:color="F79646" w:sz="8" w:space="0"/>
              <w:bottom w:val="single" w:color="F79646" w:sz="8" w:space="0"/>
              <w:right w:val="single" w:color="F79646" w:sz="8" w:space="0"/>
            </w:tcBorders>
            <w:shd w:val="clear" w:color="auto" w:fill="FBD5B5"/>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335</w:t>
            </w:r>
          </w:p>
        </w:tc>
        <w:tc>
          <w:tcPr>
            <w:tcW w:w="744" w:type="dxa"/>
            <w:tcBorders>
              <w:top w:val="single" w:color="F79646" w:sz="8" w:space="0"/>
              <w:left w:val="single" w:color="F79646" w:sz="8" w:space="0"/>
              <w:bottom w:val="single" w:color="F79646" w:sz="8" w:space="0"/>
              <w:right w:val="single" w:color="F79646" w:sz="8" w:space="0"/>
            </w:tcBorders>
            <w:shd w:val="clear" w:color="auto" w:fill="FBD5B5"/>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89.25</w:t>
            </w:r>
          </w:p>
        </w:tc>
        <w:tc>
          <w:tcPr>
            <w:tcW w:w="774" w:type="dxa"/>
            <w:tcBorders>
              <w:top w:val="single" w:color="F79646" w:sz="8" w:space="0"/>
              <w:left w:val="single" w:color="F79646" w:sz="8" w:space="0"/>
              <w:bottom w:val="single" w:color="F79646" w:sz="8" w:space="0"/>
              <w:right w:val="single" w:color="F79646" w:sz="8" w:space="0"/>
            </w:tcBorders>
            <w:shd w:val="clear" w:color="auto" w:fill="FBD5B5"/>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8.96</w:t>
            </w:r>
          </w:p>
        </w:tc>
        <w:tc>
          <w:tcPr>
            <w:tcW w:w="834" w:type="dxa"/>
            <w:tcBorders>
              <w:top w:val="single" w:color="F79646" w:sz="8" w:space="0"/>
              <w:left w:val="single" w:color="F79646" w:sz="8" w:space="0"/>
              <w:bottom w:val="single" w:color="F79646" w:sz="8" w:space="0"/>
              <w:right w:val="single" w:color="F79646" w:sz="8" w:space="0"/>
            </w:tcBorders>
            <w:shd w:val="clear" w:color="auto" w:fill="FBD5B5"/>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108"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对社团活动满意度</w:t>
            </w:r>
          </w:p>
        </w:tc>
        <w:tc>
          <w:tcPr>
            <w:tcW w:w="854"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333</w:t>
            </w:r>
          </w:p>
        </w:tc>
        <w:tc>
          <w:tcPr>
            <w:tcW w:w="753"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70.27</w:t>
            </w:r>
          </w:p>
        </w:tc>
        <w:tc>
          <w:tcPr>
            <w:tcW w:w="783"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27.93</w:t>
            </w:r>
          </w:p>
        </w:tc>
        <w:tc>
          <w:tcPr>
            <w:tcW w:w="845"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1.8</w:t>
            </w:r>
          </w:p>
        </w:tc>
        <w:tc>
          <w:tcPr>
            <w:tcW w:w="846"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333</w:t>
            </w:r>
          </w:p>
        </w:tc>
        <w:tc>
          <w:tcPr>
            <w:tcW w:w="744"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87.99</w:t>
            </w:r>
          </w:p>
        </w:tc>
        <w:tc>
          <w:tcPr>
            <w:tcW w:w="774"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7.51</w:t>
            </w:r>
          </w:p>
        </w:tc>
        <w:tc>
          <w:tcPr>
            <w:tcW w:w="834"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108" w:type="dxa"/>
            <w:tcBorders>
              <w:top w:val="single" w:color="F79646" w:sz="8" w:space="0"/>
              <w:left w:val="single" w:color="F79646" w:sz="8" w:space="0"/>
              <w:bottom w:val="single" w:color="F79646" w:sz="8" w:space="0"/>
              <w:right w:val="single" w:color="F79646" w:sz="8" w:space="0"/>
            </w:tcBorders>
            <w:shd w:val="clear" w:color="auto" w:fill="FBD5B5"/>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对生活满意度</w:t>
            </w:r>
          </w:p>
        </w:tc>
        <w:tc>
          <w:tcPr>
            <w:tcW w:w="854" w:type="dxa"/>
            <w:tcBorders>
              <w:top w:val="single" w:color="F79646" w:sz="8" w:space="0"/>
              <w:left w:val="single" w:color="F79646" w:sz="8" w:space="0"/>
              <w:bottom w:val="single" w:color="F79646" w:sz="8" w:space="0"/>
              <w:right w:val="single" w:color="F79646" w:sz="8" w:space="0"/>
            </w:tcBorders>
            <w:shd w:val="clear" w:color="auto" w:fill="FBD5B5"/>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336</w:t>
            </w:r>
          </w:p>
        </w:tc>
        <w:tc>
          <w:tcPr>
            <w:tcW w:w="753" w:type="dxa"/>
            <w:tcBorders>
              <w:top w:val="single" w:color="F79646" w:sz="8" w:space="0"/>
              <w:left w:val="single" w:color="F79646" w:sz="8" w:space="0"/>
              <w:bottom w:val="single" w:color="F79646" w:sz="8" w:space="0"/>
              <w:right w:val="single" w:color="F79646" w:sz="8" w:space="0"/>
            </w:tcBorders>
            <w:shd w:val="clear" w:color="auto" w:fill="FBD5B5"/>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72.92</w:t>
            </w:r>
          </w:p>
        </w:tc>
        <w:tc>
          <w:tcPr>
            <w:tcW w:w="783" w:type="dxa"/>
            <w:tcBorders>
              <w:top w:val="single" w:color="F79646" w:sz="8" w:space="0"/>
              <w:left w:val="single" w:color="F79646" w:sz="8" w:space="0"/>
              <w:bottom w:val="single" w:color="F79646" w:sz="8" w:space="0"/>
              <w:right w:val="single" w:color="F79646" w:sz="8" w:space="0"/>
            </w:tcBorders>
            <w:shd w:val="clear" w:color="auto" w:fill="FBD5B5"/>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26.19</w:t>
            </w:r>
          </w:p>
        </w:tc>
        <w:tc>
          <w:tcPr>
            <w:tcW w:w="845" w:type="dxa"/>
            <w:tcBorders>
              <w:top w:val="single" w:color="F79646" w:sz="8" w:space="0"/>
              <w:left w:val="single" w:color="F79646" w:sz="8" w:space="0"/>
              <w:bottom w:val="single" w:color="F79646" w:sz="8" w:space="0"/>
              <w:right w:val="single" w:color="F79646" w:sz="8" w:space="0"/>
            </w:tcBorders>
            <w:shd w:val="clear" w:color="auto" w:fill="FBD5B5"/>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0.89</w:t>
            </w:r>
          </w:p>
        </w:tc>
        <w:tc>
          <w:tcPr>
            <w:tcW w:w="846" w:type="dxa"/>
            <w:tcBorders>
              <w:top w:val="single" w:color="F79646" w:sz="8" w:space="0"/>
              <w:left w:val="single" w:color="F79646" w:sz="8" w:space="0"/>
              <w:bottom w:val="single" w:color="F79646" w:sz="8" w:space="0"/>
              <w:right w:val="single" w:color="F79646" w:sz="8" w:space="0"/>
            </w:tcBorders>
            <w:shd w:val="clear" w:color="auto" w:fill="FBD5B5"/>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336</w:t>
            </w:r>
          </w:p>
        </w:tc>
        <w:tc>
          <w:tcPr>
            <w:tcW w:w="744" w:type="dxa"/>
            <w:tcBorders>
              <w:top w:val="single" w:color="F79646" w:sz="8" w:space="0"/>
              <w:left w:val="single" w:color="F79646" w:sz="8" w:space="0"/>
              <w:bottom w:val="single" w:color="F79646" w:sz="8" w:space="0"/>
              <w:right w:val="single" w:color="F79646" w:sz="8" w:space="0"/>
            </w:tcBorders>
            <w:shd w:val="clear" w:color="auto" w:fill="FBD5B5"/>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91.96</w:t>
            </w:r>
          </w:p>
        </w:tc>
        <w:tc>
          <w:tcPr>
            <w:tcW w:w="774" w:type="dxa"/>
            <w:tcBorders>
              <w:top w:val="single" w:color="F79646" w:sz="8" w:space="0"/>
              <w:left w:val="single" w:color="F79646" w:sz="8" w:space="0"/>
              <w:bottom w:val="single" w:color="F79646" w:sz="8" w:space="0"/>
              <w:right w:val="single" w:color="F79646" w:sz="8" w:space="0"/>
            </w:tcBorders>
            <w:shd w:val="clear" w:color="auto" w:fill="FBD5B5"/>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5.95</w:t>
            </w:r>
          </w:p>
        </w:tc>
        <w:tc>
          <w:tcPr>
            <w:tcW w:w="834" w:type="dxa"/>
            <w:tcBorders>
              <w:top w:val="single" w:color="F79646" w:sz="8" w:space="0"/>
              <w:left w:val="single" w:color="F79646" w:sz="8" w:space="0"/>
              <w:bottom w:val="single" w:color="F79646" w:sz="8" w:space="0"/>
              <w:right w:val="single" w:color="F79646" w:sz="8" w:space="0"/>
            </w:tcBorders>
            <w:shd w:val="clear" w:color="auto" w:fill="FBD5B5"/>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08"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对校园安全满意度</w:t>
            </w:r>
          </w:p>
        </w:tc>
        <w:tc>
          <w:tcPr>
            <w:tcW w:w="854"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335</w:t>
            </w:r>
          </w:p>
        </w:tc>
        <w:tc>
          <w:tcPr>
            <w:tcW w:w="753"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71.94</w:t>
            </w:r>
          </w:p>
        </w:tc>
        <w:tc>
          <w:tcPr>
            <w:tcW w:w="783"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26.87</w:t>
            </w:r>
          </w:p>
        </w:tc>
        <w:tc>
          <w:tcPr>
            <w:tcW w:w="845"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1.19</w:t>
            </w:r>
          </w:p>
        </w:tc>
        <w:tc>
          <w:tcPr>
            <w:tcW w:w="846"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335</w:t>
            </w:r>
          </w:p>
        </w:tc>
        <w:tc>
          <w:tcPr>
            <w:tcW w:w="744"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89.6</w:t>
            </w:r>
          </w:p>
        </w:tc>
        <w:tc>
          <w:tcPr>
            <w:tcW w:w="774"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7.76</w:t>
            </w:r>
          </w:p>
        </w:tc>
        <w:tc>
          <w:tcPr>
            <w:tcW w:w="834" w:type="dxa"/>
            <w:tcBorders>
              <w:top w:val="single" w:color="F79646" w:sz="8" w:space="0"/>
              <w:left w:val="single" w:color="F79646" w:sz="8" w:space="0"/>
              <w:bottom w:val="single" w:color="F79646" w:sz="8" w:space="0"/>
              <w:right w:val="single" w:color="F79646" w:sz="8" w:space="0"/>
            </w:tcBorders>
            <w:shd w:val="clear" w:color="auto" w:fill="FFFFFF"/>
            <w:vAlign w:val="center"/>
          </w:tcPr>
          <w:p>
            <w:pPr>
              <w:jc w:val="center"/>
              <w:rPr>
                <w:rFonts w:ascii="仿宋_GB2312" w:hAnsi="仿宋_GB2312" w:eastAsia="仿宋_GB2312" w:cs="仿宋_GB2312"/>
                <w:color w:val="000000"/>
              </w:rPr>
            </w:pPr>
            <w:r>
              <w:rPr>
                <w:rFonts w:hint="eastAsia" w:ascii="仿宋_GB2312" w:hAnsi="仿宋_GB2312" w:eastAsia="仿宋_GB2312" w:cs="仿宋_GB2312"/>
                <w:color w:val="000000"/>
              </w:rPr>
              <w:t>2.69</w:t>
            </w:r>
          </w:p>
        </w:tc>
      </w:tr>
    </w:tbl>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zh-CN" w:bidi="ar-SA"/>
        </w:rPr>
      </w:pPr>
      <w:bookmarkStart w:id="50" w:name="_Toc9826"/>
      <w:bookmarkStart w:id="51" w:name="_Toc29294"/>
      <w:r>
        <w:rPr>
          <w:rFonts w:hint="eastAsia" w:ascii="仿宋_GB2312" w:hAnsi="Times New Roman" w:eastAsia="仿宋_GB2312" w:cs="Times New Roman"/>
          <w:b/>
          <w:bCs/>
          <w:kern w:val="2"/>
          <w:sz w:val="28"/>
          <w:szCs w:val="28"/>
          <w:lang w:val="en-US" w:eastAsia="zh-CN" w:bidi="ar-SA"/>
        </w:rPr>
        <w:t>2.4.1校园文化</w:t>
      </w:r>
      <w:bookmarkEnd w:id="50"/>
      <w:r>
        <w:rPr>
          <w:rFonts w:hint="eastAsia" w:ascii="仿宋_GB2312" w:hAnsi="Times New Roman" w:eastAsia="仿宋_GB2312" w:cs="Times New Roman"/>
          <w:b/>
          <w:bCs/>
          <w:kern w:val="2"/>
          <w:sz w:val="28"/>
          <w:szCs w:val="28"/>
          <w:lang w:val="en-US" w:eastAsia="zh-CN" w:bidi="ar-SA"/>
        </w:rPr>
        <w:t>活动</w:t>
      </w:r>
      <w:bookmarkEnd w:id="51"/>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baseline"/>
        <w:rPr>
          <w:rFonts w:hint="eastAsia" w:ascii="仿宋_GB2312" w:hAnsi="Times New Roman" w:eastAsia="仿宋_GB2312" w:cs="Times New Roman"/>
          <w:kern w:val="2"/>
          <w:sz w:val="28"/>
          <w:szCs w:val="28"/>
          <w:lang w:val="en-US" w:eastAsia="zh-CN" w:bidi="ar-SA"/>
        </w:rPr>
      </w:pPr>
      <w:r>
        <w:rPr>
          <w:rFonts w:hint="eastAsia" w:ascii="仿宋_GB2312" w:hAnsi="Times New Roman" w:eastAsia="仿宋_GB2312"/>
          <w:sz w:val="28"/>
          <w:szCs w:val="28"/>
          <w:lang w:val="en-US" w:eastAsia="uk-UA"/>
        </w:rPr>
        <w:t>学校非常重视校园文化建设，团委、学生科积极开展各种丰富多彩的第二课堂活动，充分利用主题班会、黑板报、宣传栏、以及各种比赛活动等形式，对学生进行德育教育渗透，使学生树立正确的世界观、人生观和价值观。</w:t>
      </w:r>
      <w:r>
        <w:rPr>
          <w:rFonts w:hint="eastAsia" w:ascii="仿宋_GB2312" w:hAnsi="Times New Roman" w:eastAsia="仿宋_GB2312" w:cs="Times New Roman"/>
          <w:kern w:val="2"/>
          <w:sz w:val="28"/>
          <w:szCs w:val="28"/>
          <w:lang w:val="en-US" w:eastAsia="zh-CN" w:bidi="ar-SA"/>
        </w:rPr>
        <w:t>百年大党，风华正茂；百年大计，教育为本。大同市体育运动学校从教学科研一线到行政管理部门，从课堂内的育人实践到校园外的社会服务，传承革命基因，弘扬传统文化。青年是祖国的未来、民族的希望，也是我们党的未来和希望。我校通过党史学习教育厚植青年师生爱党爱国爱社会主义的情感，让红色基因、革命薪火代代传承。</w:t>
      </w:r>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jc w:val="left"/>
        <w:textAlignment w:val="baseline"/>
        <w:rPr>
          <w:rFonts w:hint="eastAsia" w:ascii="仿宋_GB2312" w:hAnsi="Times New Roman" w:eastAsia="仿宋_GB2312"/>
          <w:sz w:val="28"/>
          <w:szCs w:val="28"/>
          <w:lang w:val="en-US" w:eastAsia="uk-UA"/>
        </w:rPr>
      </w:pPr>
      <w:r>
        <w:rPr>
          <w:rFonts w:hint="eastAsia" w:ascii="仿宋_GB2312" w:hAnsi="Times New Roman" w:eastAsia="仿宋_GB2312"/>
          <w:sz w:val="28"/>
          <w:szCs w:val="28"/>
          <w:lang w:val="en-US" w:eastAsia="zh-CN"/>
        </w:rPr>
        <w:t>2021年</w:t>
      </w:r>
      <w:r>
        <w:rPr>
          <w:rFonts w:hint="eastAsia" w:ascii="仿宋_GB2312" w:hAnsi="Times New Roman" w:eastAsia="仿宋_GB2312"/>
          <w:sz w:val="28"/>
          <w:szCs w:val="28"/>
          <w:lang w:val="en-US" w:eastAsia="uk-UA"/>
        </w:rPr>
        <w:t>举办学雷锋活动、</w:t>
      </w:r>
      <w:r>
        <w:rPr>
          <w:rFonts w:hint="eastAsia" w:ascii="仿宋_GB2312" w:hAnsi="Times New Roman" w:eastAsia="仿宋_GB2312"/>
          <w:sz w:val="28"/>
          <w:szCs w:val="28"/>
          <w:lang w:val="en-US" w:eastAsia="zh-CN"/>
        </w:rPr>
        <w:t>“</w:t>
      </w:r>
      <w:r>
        <w:rPr>
          <w:rFonts w:hint="eastAsia" w:ascii="仿宋_GB2312" w:hAnsi="Times New Roman" w:eastAsia="仿宋_GB2312"/>
          <w:sz w:val="28"/>
          <w:szCs w:val="28"/>
          <w:lang w:val="en-US" w:eastAsia="uk-UA"/>
        </w:rPr>
        <w:t>学党史、强信念、跟党走</w:t>
      </w:r>
      <w:r>
        <w:rPr>
          <w:rFonts w:hint="eastAsia" w:ascii="仿宋_GB2312" w:hAnsi="Times New Roman" w:eastAsia="仿宋_GB2312"/>
          <w:sz w:val="28"/>
          <w:szCs w:val="28"/>
          <w:lang w:val="en-US" w:eastAsia="zh-CN"/>
        </w:rPr>
        <w:t>”</w:t>
      </w:r>
      <w:r>
        <w:rPr>
          <w:rFonts w:hint="eastAsia" w:ascii="仿宋_GB2312" w:hAnsi="Times New Roman" w:eastAsia="仿宋_GB2312"/>
          <w:sz w:val="28"/>
          <w:szCs w:val="28"/>
          <w:lang w:val="en-US" w:eastAsia="uk-UA"/>
        </w:rPr>
        <w:t>主题团日活动</w:t>
      </w:r>
      <w:r>
        <w:rPr>
          <w:rFonts w:hint="eastAsia" w:ascii="仿宋_GB2312" w:hAnsi="Times New Roman" w:eastAsia="仿宋_GB2312"/>
          <w:sz w:val="28"/>
          <w:szCs w:val="28"/>
          <w:lang w:val="en-US" w:eastAsia="zh-CN"/>
        </w:rPr>
        <w:t>、</w:t>
      </w:r>
      <w:r>
        <w:rPr>
          <w:rFonts w:hint="eastAsia" w:ascii="仿宋_GB2312" w:hAnsi="Times New Roman" w:eastAsia="仿宋_GB2312"/>
          <w:sz w:val="28"/>
          <w:szCs w:val="28"/>
          <w:lang w:val="en-US" w:eastAsia="uk-UA"/>
        </w:rPr>
        <w:t>“禁毒”法治宣传活动</w:t>
      </w:r>
      <w:r>
        <w:rPr>
          <w:rFonts w:hint="eastAsia" w:ascii="仿宋_GB2312" w:hAnsi="Times New Roman" w:eastAsia="仿宋_GB2312"/>
          <w:sz w:val="28"/>
          <w:szCs w:val="28"/>
          <w:lang w:val="en-US" w:eastAsia="zh-CN"/>
        </w:rPr>
        <w:t>、童心向党“喜迎建党100周年”运动员文体教育系列活动、童心向党庆六一活动、迎国庆班级排球比赛活动、“永远跟党走，奋斗铸青春”运动员文化教育系列活动</w:t>
      </w:r>
      <w:r>
        <w:rPr>
          <w:rFonts w:hint="eastAsia" w:ascii="仿宋_GB2312" w:hAnsi="Times New Roman" w:eastAsia="仿宋_GB2312"/>
          <w:sz w:val="28"/>
          <w:szCs w:val="28"/>
          <w:lang w:val="en-US" w:eastAsia="uk-UA"/>
        </w:rPr>
        <w:t>等主题文体活动，极大地丰富了学生的业余文化生活。11月我校师生参加由山西省体育局举办的“永远跟党走，永远铸青春”运动员文化教育系列活动</w:t>
      </w:r>
      <w:r>
        <w:rPr>
          <w:rFonts w:hint="eastAsia" w:ascii="仿宋_GB2312" w:hAnsi="Times New Roman" w:eastAsia="仿宋_GB2312"/>
          <w:sz w:val="28"/>
          <w:szCs w:val="28"/>
          <w:lang w:val="en-US" w:eastAsia="zh-CN"/>
        </w:rPr>
        <w:t>，</w:t>
      </w:r>
      <w:r>
        <w:rPr>
          <w:rFonts w:hint="eastAsia" w:ascii="仿宋_GB2312" w:hAnsi="Times New Roman" w:eastAsia="仿宋_GB2312"/>
          <w:sz w:val="28"/>
          <w:szCs w:val="28"/>
          <w:lang w:val="en-US" w:eastAsia="uk-UA"/>
        </w:rPr>
        <w:t xml:space="preserve">经过近一个月的准备工作，我校共选送朗诵、征文、摄影和演讲作品十余件，取得三个一等奖、两个二等奖、两个三等奖的优异成绩，同时我校获得了优秀组织奖，受到省体育局的嘉奖。学校组织学生积极参加中等职业学校的技能竞赛活动和“裁判员实习”等社会实践活动，增强学生职业能力、全面提升学生素质，同时为广大学生提供展示精神风貌和才华的平台。 </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baseline"/>
        <w:rPr>
          <w:rFonts w:ascii="仿宋" w:hAnsi="仿宋" w:eastAsia="仿宋" w:cs="仿宋"/>
          <w:sz w:val="32"/>
          <w:szCs w:val="32"/>
        </w:rPr>
      </w:pPr>
      <w:r>
        <w:drawing>
          <wp:inline distT="0" distB="0" distL="114300" distR="114300">
            <wp:extent cx="2511425" cy="1676400"/>
            <wp:effectExtent l="0" t="0" r="3175" b="0"/>
            <wp:docPr id="19" name="图片 19" descr="学雷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雷锋"/>
                    <pic:cNvPicPr>
                      <a:picLocks noChangeAspect="1"/>
                    </pic:cNvPicPr>
                  </pic:nvPicPr>
                  <pic:blipFill>
                    <a:blip r:embed="rId28"/>
                    <a:stretch>
                      <a:fillRect/>
                    </a:stretch>
                  </pic:blipFill>
                  <pic:spPr>
                    <a:xfrm>
                      <a:off x="0" y="0"/>
                      <a:ext cx="2511425" cy="1676400"/>
                    </a:xfrm>
                    <a:prstGeom prst="rect">
                      <a:avLst/>
                    </a:prstGeom>
                  </pic:spPr>
                </pic:pic>
              </a:graphicData>
            </a:graphic>
          </wp:inline>
        </w:drawing>
      </w:r>
      <w:r>
        <w:rPr>
          <w:rFonts w:hint="eastAsia"/>
          <w:lang w:val="en-US" w:eastAsia="zh-CN"/>
        </w:rPr>
        <w:t xml:space="preserve"> </w:t>
      </w:r>
      <w:r>
        <w:drawing>
          <wp:inline distT="0" distB="0" distL="114300" distR="114300">
            <wp:extent cx="2587625" cy="1670685"/>
            <wp:effectExtent l="0" t="0" r="3175" b="5715"/>
            <wp:docPr id="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
                    <pic:cNvPicPr>
                      <a:picLocks noChangeAspect="1"/>
                    </pic:cNvPicPr>
                  </pic:nvPicPr>
                  <pic:blipFill>
                    <a:blip r:embed="rId29"/>
                    <a:stretch>
                      <a:fillRect/>
                    </a:stretch>
                  </pic:blipFill>
                  <pic:spPr>
                    <a:xfrm>
                      <a:off x="0" y="0"/>
                      <a:ext cx="2587625" cy="1670685"/>
                    </a:xfrm>
                    <a:prstGeom prst="rect">
                      <a:avLst/>
                    </a:prstGeom>
                    <a:noFill/>
                    <a:ln>
                      <a:noFill/>
                    </a:ln>
                  </pic:spPr>
                </pic:pic>
              </a:graphicData>
            </a:graphic>
          </wp:inline>
        </w:drawing>
      </w:r>
    </w:p>
    <w:p>
      <w:pPr>
        <w:ind w:firstLine="422" w:firstLineChars="200"/>
        <w:rPr>
          <w:rFonts w:hint="eastAsia" w:ascii="仿宋_GB2312" w:hAnsi="Times New Roman" w:eastAsia="仿宋_GB2312"/>
          <w:sz w:val="28"/>
          <w:szCs w:val="28"/>
          <w:lang w:val="en-US" w:eastAsia="zh-CN"/>
        </w:rPr>
      </w:pPr>
      <w:r>
        <w:rPr>
          <w:rFonts w:hint="eastAsia" w:ascii="仿宋" w:hAnsi="仿宋" w:eastAsia="仿宋" w:cs="仿宋"/>
          <w:b/>
        </w:rPr>
        <w:t xml:space="preserve">    </w:t>
      </w:r>
      <w:r>
        <w:rPr>
          <w:rFonts w:hint="eastAsia" w:ascii="仿宋_GB2312" w:hAnsi="Times New Roman" w:eastAsia="仿宋_GB2312"/>
          <w:sz w:val="28"/>
          <w:szCs w:val="28"/>
          <w:lang w:val="en-US" w:eastAsia="uk-UA"/>
        </w:rPr>
        <w:t xml:space="preserve"> </w:t>
      </w:r>
      <w:r>
        <w:rPr>
          <w:rFonts w:hint="eastAsia" w:ascii="仿宋_GB2312" w:hAnsi="Times New Roman" w:eastAsia="仿宋_GB2312"/>
          <w:sz w:val="28"/>
          <w:szCs w:val="28"/>
          <w:lang w:val="en-US" w:eastAsia="zh-CN"/>
        </w:rPr>
        <w:t>3.5学雷锋活动</w:t>
      </w:r>
      <w:r>
        <w:rPr>
          <w:rFonts w:hint="eastAsia" w:ascii="仿宋_GB2312" w:hAnsi="Times New Roman" w:eastAsia="仿宋_GB2312"/>
          <w:sz w:val="28"/>
          <w:szCs w:val="28"/>
          <w:lang w:val="en-US" w:eastAsia="uk-UA"/>
        </w:rPr>
        <w:t xml:space="preserve"> </w:t>
      </w:r>
      <w:r>
        <w:rPr>
          <w:rFonts w:hint="eastAsia" w:ascii="仿宋_GB2312" w:hAnsi="Times New Roman" w:eastAsia="仿宋_GB2312"/>
          <w:sz w:val="28"/>
          <w:szCs w:val="28"/>
          <w:lang w:val="en-US" w:eastAsia="zh-CN"/>
        </w:rPr>
        <w:t xml:space="preserve">              童心向党庆六一活动 </w:t>
      </w:r>
    </w:p>
    <w:p>
      <w:pPr>
        <w:rPr>
          <w:rFonts w:hint="eastAsia" w:ascii="仿宋" w:hAnsi="仿宋" w:eastAsia="仿宋" w:cs="仿宋"/>
          <w:b/>
          <w:bCs/>
          <w:sz w:val="21"/>
          <w:szCs w:val="21"/>
          <w:lang w:eastAsia="zh-CN"/>
        </w:rPr>
      </w:pPr>
      <w:r>
        <w:rPr>
          <w:rFonts w:hint="eastAsia" w:ascii="仿宋_GB2312" w:hAnsi="仿宋_GB2312" w:eastAsia="仿宋_GB2312" w:cs="仿宋_GB2312"/>
          <w:bCs/>
          <w:sz w:val="28"/>
          <w:szCs w:val="28"/>
          <w:lang w:val="en-US" w:eastAsia="zh-CN"/>
        </w:rPr>
        <w:drawing>
          <wp:inline distT="0" distB="0" distL="114300" distR="114300">
            <wp:extent cx="2490470" cy="1749425"/>
            <wp:effectExtent l="0" t="0" r="5080" b="3175"/>
            <wp:docPr id="126" name="图片 126" descr="IMG_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IMG_9283"/>
                    <pic:cNvPicPr>
                      <a:picLocks noChangeAspect="1"/>
                    </pic:cNvPicPr>
                  </pic:nvPicPr>
                  <pic:blipFill>
                    <a:blip r:embed="rId30"/>
                    <a:stretch>
                      <a:fillRect/>
                    </a:stretch>
                  </pic:blipFill>
                  <pic:spPr>
                    <a:xfrm>
                      <a:off x="0" y="0"/>
                      <a:ext cx="2490470" cy="1749425"/>
                    </a:xfrm>
                    <a:prstGeom prst="rect">
                      <a:avLst/>
                    </a:prstGeom>
                  </pic:spPr>
                </pic:pic>
              </a:graphicData>
            </a:graphic>
          </wp:inline>
        </w:drawing>
      </w:r>
      <w:r>
        <w:rPr>
          <w:rFonts w:hint="eastAsia" w:ascii="仿宋_GB2312" w:hAnsi="仿宋_GB2312" w:eastAsia="仿宋_GB2312" w:cs="仿宋_GB2312"/>
          <w:bCs/>
          <w:sz w:val="28"/>
          <w:szCs w:val="28"/>
          <w:lang w:val="en-US" w:eastAsia="zh-CN"/>
        </w:rPr>
        <w:t xml:space="preserve"> </w:t>
      </w:r>
      <w:r>
        <w:rPr>
          <w:rFonts w:hint="eastAsia" w:ascii="仿宋_GB2312" w:hAnsi="仿宋_GB2312" w:eastAsia="仿宋_GB2312" w:cs="仿宋_GB2312"/>
          <w:bCs/>
          <w:sz w:val="28"/>
          <w:szCs w:val="28"/>
          <w:lang w:val="en-US" w:eastAsia="zh-CN"/>
        </w:rPr>
        <w:drawing>
          <wp:inline distT="0" distB="0" distL="114300" distR="114300">
            <wp:extent cx="2599690" cy="1746885"/>
            <wp:effectExtent l="0" t="0" r="10160" b="5715"/>
            <wp:docPr id="42" name="图片 42" descr="微信图片_2021111915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11119151909"/>
                    <pic:cNvPicPr>
                      <a:picLocks noChangeAspect="1"/>
                    </pic:cNvPicPr>
                  </pic:nvPicPr>
                  <pic:blipFill>
                    <a:blip r:embed="rId31"/>
                    <a:stretch>
                      <a:fillRect/>
                    </a:stretch>
                  </pic:blipFill>
                  <pic:spPr>
                    <a:xfrm>
                      <a:off x="0" y="0"/>
                      <a:ext cx="2599690" cy="1746885"/>
                    </a:xfrm>
                    <a:prstGeom prst="rect">
                      <a:avLst/>
                    </a:prstGeom>
                  </pic:spPr>
                </pic:pic>
              </a:graphicData>
            </a:graphic>
          </wp:inline>
        </w:drawing>
      </w:r>
      <w:r>
        <w:rPr>
          <w:rFonts w:hint="eastAsia" w:ascii="仿宋_GB2312" w:hAnsi="仿宋_GB2312" w:eastAsia="仿宋_GB2312" w:cs="仿宋_GB2312"/>
          <w:bCs/>
          <w:sz w:val="28"/>
          <w:szCs w:val="28"/>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baseline"/>
        <w:rPr>
          <w:rFonts w:hint="eastAsia" w:ascii="仿宋_GB2312" w:hAnsi="Times New Roman" w:eastAsia="仿宋_GB2312"/>
          <w:sz w:val="28"/>
          <w:szCs w:val="28"/>
          <w:lang w:val="en-US" w:eastAsia="zh-CN"/>
        </w:rPr>
      </w:pPr>
      <w:r>
        <w:rPr>
          <w:rFonts w:hint="eastAsia" w:ascii="仿宋_GB2312" w:hAnsi="Times New Roman" w:eastAsia="仿宋_GB2312"/>
          <w:sz w:val="28"/>
          <w:szCs w:val="28"/>
          <w:lang w:val="en-US" w:eastAsia="zh-CN"/>
        </w:rPr>
        <w:t>童心向党“喜迎建党100周年”  山西省运动员文化教育系列活动</w:t>
      </w:r>
    </w:p>
    <w:p>
      <w:pPr>
        <w:rPr>
          <w:rFonts w:ascii="仿宋" w:hAnsi="仿宋" w:eastAsia="仿宋" w:cs="仿宋"/>
          <w:kern w:val="0"/>
          <w:sz w:val="28"/>
          <w:szCs w:val="28"/>
        </w:rPr>
      </w:pPr>
      <w:r>
        <w:rPr>
          <w:rFonts w:hint="eastAsia" w:eastAsia="仿宋"/>
          <w:lang w:val="uk-UA" w:eastAsia="zh-CN"/>
        </w:rPr>
        <w:drawing>
          <wp:inline distT="0" distB="0" distL="114300" distR="114300">
            <wp:extent cx="2533015" cy="1602740"/>
            <wp:effectExtent l="0" t="0" r="635" b="16510"/>
            <wp:docPr id="138" name="图片 138" descr="67411c91cde3fd4794c95285c71d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67411c91cde3fd4794c95285c71d649"/>
                    <pic:cNvPicPr>
                      <a:picLocks noChangeAspect="1"/>
                    </pic:cNvPicPr>
                  </pic:nvPicPr>
                  <pic:blipFill>
                    <a:blip r:embed="rId32"/>
                    <a:stretch>
                      <a:fillRect/>
                    </a:stretch>
                  </pic:blipFill>
                  <pic:spPr>
                    <a:xfrm>
                      <a:off x="0" y="0"/>
                      <a:ext cx="2533015" cy="1602740"/>
                    </a:xfrm>
                    <a:prstGeom prst="rect">
                      <a:avLst/>
                    </a:prstGeom>
                  </pic:spPr>
                </pic:pic>
              </a:graphicData>
            </a:graphic>
          </wp:inline>
        </w:drawing>
      </w:r>
      <w:r>
        <w:rPr>
          <w:rFonts w:hint="eastAsia" w:eastAsia="仿宋"/>
          <w:lang w:val="en-US" w:eastAsia="zh-CN"/>
        </w:rPr>
        <w:t xml:space="preserve"> </w:t>
      </w:r>
      <w:r>
        <w:rPr>
          <w:rFonts w:hint="eastAsia" w:eastAsia="仿宋"/>
          <w:lang w:val="uk-UA" w:eastAsia="zh-CN"/>
        </w:rPr>
        <w:drawing>
          <wp:inline distT="0" distB="0" distL="114300" distR="114300">
            <wp:extent cx="2562225" cy="1640205"/>
            <wp:effectExtent l="0" t="0" r="9525" b="17145"/>
            <wp:docPr id="139" name="图片 139" descr="fca372bc570a41fc483b3dc59699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fca372bc570a41fc483b3dc59699c84"/>
                    <pic:cNvPicPr>
                      <a:picLocks noChangeAspect="1"/>
                    </pic:cNvPicPr>
                  </pic:nvPicPr>
                  <pic:blipFill>
                    <a:blip r:embed="rId33"/>
                    <a:stretch>
                      <a:fillRect/>
                    </a:stretch>
                  </pic:blipFill>
                  <pic:spPr>
                    <a:xfrm>
                      <a:off x="0" y="0"/>
                      <a:ext cx="2562225" cy="1640205"/>
                    </a:xfrm>
                    <a:prstGeom prst="rect">
                      <a:avLst/>
                    </a:prstGeom>
                  </pic:spPr>
                </pic:pic>
              </a:graphicData>
            </a:graphic>
          </wp:inline>
        </w:drawing>
      </w:r>
    </w:p>
    <w:p>
      <w:pPr>
        <w:ind w:firstLine="980" w:firstLineChars="350"/>
        <w:rPr>
          <w:rFonts w:hint="eastAsia"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kern w:val="2"/>
          <w:sz w:val="28"/>
          <w:szCs w:val="28"/>
          <w:lang w:val="en-US" w:eastAsia="zh-CN" w:bidi="ar-SA"/>
        </w:rPr>
        <w:t>雷锋精神进课堂             青年学生对公交站清洗</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zh-CN" w:bidi="ar-SA"/>
        </w:rPr>
      </w:pPr>
      <w:bookmarkStart w:id="52" w:name="_Toc504"/>
      <w:bookmarkStart w:id="53" w:name="_Toc12137"/>
      <w:r>
        <w:rPr>
          <w:rFonts w:hint="eastAsia" w:ascii="仿宋_GB2312" w:hAnsi="Times New Roman" w:eastAsia="仿宋_GB2312" w:cs="Times New Roman"/>
          <w:b/>
          <w:bCs/>
          <w:kern w:val="2"/>
          <w:sz w:val="28"/>
          <w:szCs w:val="28"/>
          <w:lang w:val="en-US" w:eastAsia="zh-CN" w:bidi="ar-SA"/>
        </w:rPr>
        <w:t>2.4.2文明风采</w:t>
      </w:r>
      <w:bookmarkEnd w:id="52"/>
      <w:bookmarkEnd w:id="53"/>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baseline"/>
        <w:rPr>
          <w:rFonts w:hint="eastAsia"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kern w:val="2"/>
          <w:sz w:val="28"/>
          <w:szCs w:val="28"/>
          <w:lang w:val="en-US" w:eastAsia="zh-CN" w:bidi="ar-SA"/>
        </w:rPr>
        <w:t xml:space="preserve">学校积极参加大同市中职学校职业教育活动周的活动，利用网络、宣传栏、招生简章来宣传我校；学校还开展了篮球和足球项目进校园活动，一方面，很好地展示了我校运动员的风采，一方面促进推动了学校体育事业的健康发展。 </w:t>
      </w:r>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baseline"/>
        <w:rPr>
          <w:rFonts w:hint="eastAsia"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kern w:val="2"/>
          <w:sz w:val="28"/>
          <w:szCs w:val="28"/>
          <w:lang w:val="en-US" w:eastAsia="zh-CN" w:bidi="ar-SA"/>
        </w:rPr>
        <w:t>学校一直以来也十分重视教职员工政治思想教育、努力提升教职工业务能力、全面丰富教职工业余文化生活，充分发挥学校工会的桥梁和纽带作用，通过举行一系列文化体育活动、清洁美化校园劳动等活动，全方位展现教职工文明风采，凝心聚力，最大限度激发教职工以饱满的思想热情、高度的主人翁精神、精湛的业务能力，投身到学校教学、训练、后勤保障等工作之中，抖擞精神上战场，重整旗鼓再出发，为我市成功举办2022年第十六届山西省运动会鼓劲助力，力争再创佳绩，再铸辉煌。</w:t>
      </w:r>
    </w:p>
    <w:p>
      <w:pPr>
        <w:pStyle w:val="2"/>
        <w:ind w:left="0" w:leftChars="0" w:firstLine="0" w:firstLineChars="0"/>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4629150" cy="2313305"/>
            <wp:effectExtent l="0" t="0" r="0" b="10795"/>
            <wp:docPr id="128" name="图片 128" descr="微信图片_2021111617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微信图片_20211116171905"/>
                    <pic:cNvPicPr>
                      <a:picLocks noChangeAspect="1"/>
                    </pic:cNvPicPr>
                  </pic:nvPicPr>
                  <pic:blipFill>
                    <a:blip r:embed="rId34"/>
                    <a:stretch>
                      <a:fillRect/>
                    </a:stretch>
                  </pic:blipFill>
                  <pic:spPr>
                    <a:xfrm>
                      <a:off x="0" y="0"/>
                      <a:ext cx="4629150" cy="2313305"/>
                    </a:xfrm>
                    <a:prstGeom prst="rect">
                      <a:avLst/>
                    </a:prstGeom>
                  </pic:spPr>
                </pic:pic>
              </a:graphicData>
            </a:graphic>
          </wp:inline>
        </w:drawing>
      </w:r>
    </w:p>
    <w:p>
      <w:pPr>
        <w:pStyle w:val="2"/>
        <w:ind w:firstLine="1120" w:firstLineChars="400"/>
        <w:rPr>
          <w:rFonts w:hint="eastAsia"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kern w:val="2"/>
          <w:sz w:val="28"/>
          <w:szCs w:val="28"/>
          <w:lang w:val="en-US" w:eastAsia="zh-CN" w:bidi="ar-SA"/>
        </w:rPr>
        <w:t>参加市直机关乒乓球赛获“优秀组织奖”</w:t>
      </w:r>
    </w:p>
    <w:p>
      <w:r>
        <w:drawing>
          <wp:inline distT="0" distB="0" distL="114300" distR="114300">
            <wp:extent cx="2491105" cy="1674495"/>
            <wp:effectExtent l="0" t="0" r="4445" b="190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35"/>
                    <a:stretch>
                      <a:fillRect/>
                    </a:stretch>
                  </pic:blipFill>
                  <pic:spPr>
                    <a:xfrm>
                      <a:off x="0" y="0"/>
                      <a:ext cx="2491105" cy="167449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435860" cy="1687195"/>
            <wp:effectExtent l="0" t="0" r="2540" b="8255"/>
            <wp:docPr id="130" name="图片 130" descr="微信图片_2021111617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微信图片_20211116175326"/>
                    <pic:cNvPicPr>
                      <a:picLocks noChangeAspect="1"/>
                    </pic:cNvPicPr>
                  </pic:nvPicPr>
                  <pic:blipFill>
                    <a:blip r:embed="rId36"/>
                    <a:stretch>
                      <a:fillRect/>
                    </a:stretch>
                  </pic:blipFill>
                  <pic:spPr>
                    <a:xfrm>
                      <a:off x="0" y="0"/>
                      <a:ext cx="2435860" cy="1687195"/>
                    </a:xfrm>
                    <a:prstGeom prst="rect">
                      <a:avLst/>
                    </a:prstGeom>
                  </pic:spPr>
                </pic:pic>
              </a:graphicData>
            </a:graphic>
          </wp:inline>
        </w:drawing>
      </w:r>
    </w:p>
    <w:p>
      <w:pPr>
        <w:pStyle w:val="2"/>
        <w:jc w:val="center"/>
        <w:rPr>
          <w:rFonts w:hint="eastAsia"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kern w:val="2"/>
          <w:sz w:val="28"/>
          <w:szCs w:val="28"/>
          <w:lang w:val="en-US" w:eastAsia="zh-CN" w:bidi="ar-SA"/>
        </w:rPr>
        <w:t>喜迎建党100周年教职工健步走活动</w:t>
      </w:r>
    </w:p>
    <w:p>
      <w:pPr>
        <w:rPr>
          <w:rFonts w:hint="eastAsia" w:ascii="仿宋" w:hAnsi="仿宋" w:eastAsia="仿宋" w:cs="仿宋"/>
          <w:sz w:val="28"/>
          <w:szCs w:val="28"/>
          <w:lang w:val="en-US" w:eastAsia="zh-CN"/>
        </w:rPr>
      </w:pPr>
      <w:r>
        <w:rPr>
          <w:rFonts w:hint="default"/>
          <w:lang w:val="en-US" w:eastAsia="zh-CN"/>
        </w:rPr>
        <w:drawing>
          <wp:inline distT="0" distB="0" distL="114300" distR="114300">
            <wp:extent cx="2503805" cy="1598295"/>
            <wp:effectExtent l="0" t="0" r="10795" b="1905"/>
            <wp:docPr id="131" name="图片 131" descr="微信图片_2021111617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微信图片_20211116171528"/>
                    <pic:cNvPicPr>
                      <a:picLocks noChangeAspect="1"/>
                    </pic:cNvPicPr>
                  </pic:nvPicPr>
                  <pic:blipFill>
                    <a:blip r:embed="rId37"/>
                    <a:stretch>
                      <a:fillRect/>
                    </a:stretch>
                  </pic:blipFill>
                  <pic:spPr>
                    <a:xfrm>
                      <a:off x="0" y="0"/>
                      <a:ext cx="2503805" cy="1598295"/>
                    </a:xfrm>
                    <a:prstGeom prst="rect">
                      <a:avLst/>
                    </a:prstGeom>
                  </pic:spPr>
                </pic:pic>
              </a:graphicData>
            </a:graphic>
          </wp:inline>
        </w:drawing>
      </w:r>
      <w:r>
        <w:rPr>
          <w:rFonts w:hint="eastAsia"/>
          <w:lang w:val="en-US" w:eastAsia="zh-CN"/>
        </w:rPr>
        <w:t xml:space="preserve"> </w:t>
      </w:r>
      <w:r>
        <w:rPr>
          <w:rFonts w:hint="eastAsia" w:ascii="仿宋" w:hAnsi="仿宋" w:eastAsia="仿宋" w:cs="仿宋"/>
          <w:sz w:val="28"/>
          <w:szCs w:val="28"/>
          <w:lang w:val="en-US" w:eastAsia="zh-CN"/>
        </w:rPr>
        <w:drawing>
          <wp:inline distT="0" distB="0" distL="114300" distR="114300">
            <wp:extent cx="2591435" cy="1591945"/>
            <wp:effectExtent l="0" t="0" r="18415" b="8255"/>
            <wp:docPr id="27" name="图片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
                    <pic:cNvPicPr>
                      <a:picLocks noChangeAspect="1"/>
                    </pic:cNvPicPr>
                  </pic:nvPicPr>
                  <pic:blipFill>
                    <a:blip r:embed="rId38"/>
                    <a:stretch>
                      <a:fillRect/>
                    </a:stretch>
                  </pic:blipFill>
                  <pic:spPr>
                    <a:xfrm>
                      <a:off x="0" y="0"/>
                      <a:ext cx="2591435" cy="1591945"/>
                    </a:xfrm>
                    <a:prstGeom prst="rect">
                      <a:avLst/>
                    </a:prstGeom>
                  </pic:spPr>
                </pic:pic>
              </a:graphicData>
            </a:graphic>
          </wp:inline>
        </w:drawing>
      </w:r>
    </w:p>
    <w:p>
      <w:pPr>
        <w:pStyle w:val="2"/>
        <w:ind w:left="0" w:leftChars="0" w:firstLine="280" w:firstLineChars="100"/>
        <w:jc w:val="both"/>
        <w:rPr>
          <w:rFonts w:hint="default"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kern w:val="2"/>
          <w:sz w:val="28"/>
          <w:szCs w:val="28"/>
          <w:lang w:val="en-US" w:eastAsia="zh-CN" w:bidi="ar-SA"/>
        </w:rPr>
        <w:t>教职工清洁美化校园劳动          教职员工义务扫雪行动</w:t>
      </w:r>
    </w:p>
    <w:p>
      <w:pPr>
        <w:jc w:val="both"/>
        <w:rPr>
          <w:rFonts w:hint="eastAsia" w:ascii="仿宋" w:hAnsi="仿宋" w:eastAsia="仿宋" w:cs="仿宋"/>
          <w:sz w:val="28"/>
          <w:szCs w:val="28"/>
          <w:lang w:eastAsia="zh-CN"/>
        </w:rPr>
      </w:pPr>
      <w:r>
        <w:rPr>
          <w:rFonts w:hint="eastAsia" w:ascii="仿宋" w:hAnsi="仿宋" w:eastAsia="仿宋" w:cs="仿宋"/>
          <w:b/>
          <w:bCs/>
          <w:color w:val="111111"/>
          <w:lang w:eastAsia="zh-CN"/>
        </w:rPr>
        <w:drawing>
          <wp:inline distT="0" distB="0" distL="114300" distR="114300">
            <wp:extent cx="2537460" cy="1712595"/>
            <wp:effectExtent l="0" t="0" r="15240" b="1905"/>
            <wp:docPr id="135" name="图片 135" descr="IMG_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IMG_9005"/>
                    <pic:cNvPicPr>
                      <a:picLocks noChangeAspect="1"/>
                    </pic:cNvPicPr>
                  </pic:nvPicPr>
                  <pic:blipFill>
                    <a:blip r:embed="rId39"/>
                    <a:stretch>
                      <a:fillRect/>
                    </a:stretch>
                  </pic:blipFill>
                  <pic:spPr>
                    <a:xfrm>
                      <a:off x="0" y="0"/>
                      <a:ext cx="2537460" cy="1712595"/>
                    </a:xfrm>
                    <a:prstGeom prst="rect">
                      <a:avLst/>
                    </a:prstGeom>
                  </pic:spPr>
                </pic:pic>
              </a:graphicData>
            </a:graphic>
          </wp:inline>
        </w:drawing>
      </w:r>
      <w:r>
        <w:rPr>
          <w:rFonts w:hint="eastAsia" w:ascii="仿宋" w:hAnsi="仿宋" w:eastAsia="仿宋" w:cs="仿宋"/>
          <w:b/>
          <w:bCs/>
          <w:color w:val="111111"/>
          <w:lang w:val="en-US" w:eastAsia="zh-CN"/>
        </w:rPr>
        <w:t xml:space="preserve"> </w:t>
      </w:r>
      <w:r>
        <w:rPr>
          <w:rFonts w:hint="eastAsia" w:ascii="仿宋" w:hAnsi="仿宋" w:eastAsia="仿宋" w:cs="仿宋"/>
          <w:sz w:val="28"/>
          <w:szCs w:val="28"/>
          <w:lang w:eastAsia="zh-CN"/>
        </w:rPr>
        <w:drawing>
          <wp:inline distT="0" distB="0" distL="114300" distR="114300">
            <wp:extent cx="2470785" cy="1722755"/>
            <wp:effectExtent l="0" t="0" r="5715" b="10795"/>
            <wp:docPr id="6" name="图片 6" descr="IMG_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8989"/>
                    <pic:cNvPicPr>
                      <a:picLocks noChangeAspect="1"/>
                    </pic:cNvPicPr>
                  </pic:nvPicPr>
                  <pic:blipFill>
                    <a:blip r:embed="rId40"/>
                    <a:stretch>
                      <a:fillRect/>
                    </a:stretch>
                  </pic:blipFill>
                  <pic:spPr>
                    <a:xfrm>
                      <a:off x="0" y="0"/>
                      <a:ext cx="2470785" cy="1722755"/>
                    </a:xfrm>
                    <a:prstGeom prst="rect">
                      <a:avLst/>
                    </a:prstGeom>
                  </pic:spPr>
                </pic:pic>
              </a:graphicData>
            </a:graphic>
          </wp:inline>
        </w:drawing>
      </w:r>
    </w:p>
    <w:p>
      <w:pPr>
        <w:pStyle w:val="2"/>
        <w:ind w:left="0" w:leftChars="0" w:firstLine="0" w:firstLineChars="0"/>
        <w:jc w:val="center"/>
        <w:rPr>
          <w:rFonts w:ascii="仿宋" w:hAnsi="仿宋" w:eastAsia="仿宋" w:cs="仿宋"/>
          <w:bCs/>
          <w:spacing w:val="15"/>
          <w:sz w:val="28"/>
          <w:szCs w:val="28"/>
        </w:rPr>
      </w:pPr>
      <w:r>
        <w:rPr>
          <w:rFonts w:hint="eastAsia" w:ascii="仿宋_GB2312" w:hAnsi="Times New Roman" w:eastAsia="仿宋_GB2312" w:cs="Times New Roman"/>
          <w:kern w:val="2"/>
          <w:sz w:val="28"/>
          <w:szCs w:val="28"/>
          <w:lang w:val="en-US" w:eastAsia="zh-CN" w:bidi="ar-SA"/>
        </w:rPr>
        <w:t>三八妇女节女职工趣味活动</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zh-CN" w:bidi="ar-SA"/>
        </w:rPr>
      </w:pPr>
      <w:bookmarkStart w:id="54" w:name="_Toc16082"/>
      <w:bookmarkStart w:id="55" w:name="_Toc24103"/>
      <w:r>
        <w:rPr>
          <w:rFonts w:hint="eastAsia" w:ascii="仿宋_GB2312" w:hAnsi="Times New Roman" w:eastAsia="仿宋_GB2312" w:cs="Times New Roman"/>
          <w:b/>
          <w:bCs/>
          <w:kern w:val="2"/>
          <w:sz w:val="28"/>
          <w:szCs w:val="28"/>
          <w:lang w:val="en-US" w:eastAsia="zh-CN" w:bidi="ar-SA"/>
        </w:rPr>
        <w:t>2.4.3社团活动</w:t>
      </w:r>
      <w:bookmarkEnd w:id="54"/>
      <w:bookmarkEnd w:id="55"/>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baseline"/>
        <w:rPr>
          <w:rFonts w:hint="eastAsia"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kern w:val="2"/>
          <w:sz w:val="28"/>
          <w:szCs w:val="28"/>
          <w:lang w:val="en-US" w:eastAsia="zh-CN" w:bidi="ar-SA"/>
        </w:rPr>
        <w:t>学校重视开展学生会工作，不断加强学生会建设，给学生提供更广阔的舞台，让学生进行自我教育、自我管理、自我服务、自我培养。学生会和学生社团是学生个性特长发展、锻炼的主要平台。在校团委的组织带领下，充分发挥了学生干部的带头作用，为我校文明校园的发展贡献了巨大的力量。目前，我校学生会下设主席团、学习部、生纪部、组织部、宣传部和卫体部六个部门，学生会工作在学生会章程框架之内进行，自我服务、自我学习、自我管理能力大幅提升，充分发挥了学校和学生之间的桥梁纽带作用。此外，在学生会组织下设立了两个学生社团：国旗班和礼仪队，在学校大型仪式活动中良好地培养了我校学生的爱国情操，展现了我校运动员的精神风貌。2021年是我校学生会和学生社团蓬勃发展的一年，学生会和学生社团举办了排球比赛，中秋团建活动，以及抗疫情、爱国主义诗歌朗诵等；礼仪队在军训、国家奖学金颁发表彰等重大活动中都发挥了重要的形象作用。学生会和学生社团活动有声有色，学生热情高涨，个性和特长得到了很好的发展。</w:t>
      </w:r>
    </w:p>
    <w:p>
      <w:pPr>
        <w:jc w:val="center"/>
        <w:rPr>
          <w:rFonts w:hint="eastAsia" w:ascii="仿宋" w:hAnsi="仿宋" w:eastAsia="仿宋" w:cs="仿宋"/>
          <w:kern w:val="0"/>
          <w:sz w:val="28"/>
          <w:szCs w:val="28"/>
          <w:lang w:val="uk-UA"/>
        </w:rPr>
      </w:pPr>
      <w:r>
        <w:rPr>
          <w:rFonts w:hint="eastAsia" w:ascii="仿宋" w:hAnsi="仿宋" w:eastAsia="仿宋" w:cs="仿宋"/>
          <w:sz w:val="28"/>
          <w:szCs w:val="28"/>
        </w:rPr>
        <w:drawing>
          <wp:inline distT="0" distB="0" distL="0" distR="0">
            <wp:extent cx="4640580" cy="1885950"/>
            <wp:effectExtent l="0" t="0" r="7620" b="0"/>
            <wp:docPr id="115" name="图片 12" descr="微信图片_2021060310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2" descr="微信图片_20210603100316.jpg"/>
                    <pic:cNvPicPr>
                      <a:picLocks noChangeAspect="1"/>
                    </pic:cNvPicPr>
                  </pic:nvPicPr>
                  <pic:blipFill>
                    <a:blip r:embed="rId41" cstate="print"/>
                    <a:stretch>
                      <a:fillRect/>
                    </a:stretch>
                  </pic:blipFill>
                  <pic:spPr>
                    <a:xfrm>
                      <a:off x="0" y="0"/>
                      <a:ext cx="4640580" cy="1885950"/>
                    </a:xfrm>
                    <a:prstGeom prst="rect">
                      <a:avLst/>
                    </a:prstGeom>
                  </pic:spPr>
                </pic:pic>
              </a:graphicData>
            </a:graphic>
          </wp:inline>
        </w:drawing>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zh-CN" w:bidi="ar-SA"/>
        </w:rPr>
      </w:pPr>
      <w:bookmarkStart w:id="56" w:name="_Toc15661"/>
      <w:bookmarkStart w:id="57" w:name="_Toc4131"/>
      <w:r>
        <w:rPr>
          <w:rFonts w:hint="eastAsia" w:ascii="仿宋_GB2312" w:hAnsi="Times New Roman" w:eastAsia="仿宋_GB2312" w:cs="Times New Roman"/>
          <w:b/>
          <w:bCs/>
          <w:kern w:val="2"/>
          <w:sz w:val="28"/>
          <w:szCs w:val="28"/>
          <w:lang w:val="en-US" w:eastAsia="zh-CN" w:bidi="ar-SA"/>
        </w:rPr>
        <w:t>2.5职业发展</w:t>
      </w:r>
      <w:bookmarkEnd w:id="56"/>
      <w:bookmarkEnd w:id="57"/>
    </w:p>
    <w:p>
      <w:pPr>
        <w:ind w:firstLine="420" w:firstLineChars="150"/>
        <w:rPr>
          <w:rFonts w:hint="eastAsia"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kern w:val="2"/>
          <w:sz w:val="28"/>
          <w:szCs w:val="28"/>
          <w:lang w:val="en-US" w:eastAsia="zh-CN" w:bidi="ar-SA"/>
        </w:rPr>
        <w:t>近年来，学校非常重视毕业生的职业发展，宣传国家的就业政策，给学生分析当前的就业形势，引导毕业生树立正确的择业观，树立自主创业、灵活就业等适应时代的就业观念，鼓励毕业生到基层去。针对今年国家和地方鼓励毕业生就业创业政策的实施，采取专题讲座、信息发布等形式，展开了针对性和实效性很强的就业指导和具体工作。利用网络、版面宣传和电话通知等形式把应届毕业生应征入伍、就业创业等有关精神和政策及时准确通知到毕业生。</w:t>
      </w:r>
    </w:p>
    <w:p>
      <w:pPr>
        <w:ind w:firstLine="420" w:firstLineChars="150"/>
        <w:rPr>
          <w:rFonts w:hint="eastAsia"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kern w:val="2"/>
          <w:sz w:val="28"/>
          <w:szCs w:val="28"/>
          <w:lang w:val="en-US" w:eastAsia="zh-CN" w:bidi="ar-SA"/>
        </w:rPr>
        <w:t>学校要求和鼓励学生积极参加职业技能鉴定，2021年毕业生157名，100%参加技能鉴定，其中有42人获得国家社会体育指导员证书；有115人获得国家二级裁判员证书，99人获得计算机程序员证书（双证）。</w:t>
      </w:r>
    </w:p>
    <w:p>
      <w:pPr>
        <w:ind w:firstLine="420" w:firstLineChars="150"/>
        <w:rPr>
          <w:rFonts w:hint="eastAsia"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kern w:val="2"/>
          <w:sz w:val="28"/>
          <w:szCs w:val="28"/>
          <w:lang w:val="en-US" w:eastAsia="zh-CN" w:bidi="ar-SA"/>
        </w:rPr>
        <w:t>多年来，用人单位反映学校毕业生综合素质高，有很强的集体意识和社会责任感，学习能力、岗位适应能力较强，创新创业能力较好，就业单位对毕业生职业素养的满意度达93.4%，就业单位对毕业生职业技能的满意度达94.2%。部分毕业生自己创业，在不同行业展现了不凡的能力。</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zh-CN" w:bidi="ar-SA"/>
        </w:rPr>
      </w:pPr>
      <w:bookmarkStart w:id="58" w:name="_Toc12741"/>
      <w:bookmarkStart w:id="59" w:name="_Toc17612"/>
      <w:r>
        <w:rPr>
          <w:rFonts w:hint="eastAsia" w:ascii="仿宋_GB2312" w:hAnsi="Times New Roman" w:eastAsia="仿宋_GB2312" w:cs="Times New Roman"/>
          <w:b/>
          <w:bCs/>
          <w:kern w:val="2"/>
          <w:sz w:val="28"/>
          <w:szCs w:val="28"/>
          <w:lang w:val="en-US" w:eastAsia="zh-CN" w:bidi="ar-SA"/>
        </w:rPr>
        <w:t>3.教育教学改革</w:t>
      </w:r>
      <w:bookmarkEnd w:id="58"/>
      <w:bookmarkEnd w:id="59"/>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1"/>
        <w:rPr>
          <w:rFonts w:hint="eastAsia" w:ascii="仿宋_GB2312" w:hAnsi="Times New Roman" w:eastAsia="仿宋_GB2312" w:cs="Times New Roman"/>
          <w:b/>
          <w:bCs/>
          <w:kern w:val="2"/>
          <w:sz w:val="28"/>
          <w:szCs w:val="28"/>
          <w:lang w:val="en-US" w:eastAsia="zh-CN" w:bidi="ar-SA"/>
        </w:rPr>
      </w:pPr>
      <w:bookmarkStart w:id="60" w:name="_Toc17553"/>
      <w:bookmarkStart w:id="61" w:name="_Toc27800"/>
      <w:r>
        <w:rPr>
          <w:rFonts w:hint="eastAsia" w:ascii="仿宋_GB2312" w:hAnsi="Times New Roman" w:eastAsia="仿宋_GB2312" w:cs="Times New Roman"/>
          <w:b/>
          <w:bCs/>
          <w:kern w:val="2"/>
          <w:sz w:val="28"/>
          <w:szCs w:val="28"/>
          <w:lang w:val="en-US" w:eastAsia="zh-CN" w:bidi="ar-SA"/>
        </w:rPr>
        <w:t>3.1教学改革</w:t>
      </w:r>
      <w:bookmarkEnd w:id="60"/>
      <w:bookmarkEnd w:id="61"/>
      <w:r>
        <w:rPr>
          <w:rFonts w:hint="eastAsia" w:ascii="仿宋_GB2312" w:hAnsi="Times New Roman" w:eastAsia="仿宋_GB2312" w:cs="Times New Roman"/>
          <w:b/>
          <w:bCs/>
          <w:kern w:val="2"/>
          <w:sz w:val="28"/>
          <w:szCs w:val="28"/>
          <w:lang w:val="en-US" w:eastAsia="zh-CN" w:bidi="ar-SA"/>
        </w:rPr>
        <w:t xml:space="preserve">  </w:t>
      </w:r>
    </w:p>
    <w:p>
      <w:pPr>
        <w:ind w:firstLine="560" w:firstLineChars="200"/>
        <w:rPr>
          <w:rFonts w:hint="eastAsia"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kern w:val="2"/>
          <w:sz w:val="28"/>
          <w:szCs w:val="28"/>
          <w:lang w:val="en-US" w:eastAsia="zh-CN" w:bidi="ar-SA"/>
        </w:rPr>
        <w:t>多年来，学校坚持以培养高水平体育后备人才为基础，以课程建设为载体，以师资队伍做保障，以信息化建设为支撑，深化教育教学改革，加强专业内涵建设，促进学生全面发展，提升学校办学实力和人才培养质量。</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2"/>
        <w:rPr>
          <w:rFonts w:hint="eastAsia" w:ascii="仿宋_GB2312" w:hAnsi="Times New Roman" w:eastAsia="仿宋_GB2312" w:cs="Times New Roman"/>
          <w:b/>
          <w:bCs/>
          <w:kern w:val="2"/>
          <w:sz w:val="28"/>
          <w:szCs w:val="28"/>
          <w:lang w:val="en-US" w:eastAsia="zh-CN" w:bidi="ar-SA"/>
        </w:rPr>
      </w:pPr>
      <w:bookmarkStart w:id="62" w:name="_Toc2503"/>
      <w:bookmarkStart w:id="63" w:name="_Toc8112"/>
      <w:r>
        <w:rPr>
          <w:rFonts w:hint="eastAsia" w:ascii="仿宋_GB2312" w:hAnsi="Times New Roman" w:eastAsia="仿宋_GB2312" w:cs="Times New Roman"/>
          <w:b/>
          <w:bCs/>
          <w:kern w:val="2"/>
          <w:sz w:val="28"/>
          <w:szCs w:val="28"/>
          <w:lang w:val="en-US" w:eastAsia="zh-CN" w:bidi="ar-SA"/>
        </w:rPr>
        <w:t>3.1.1 专业课程设置情况</w:t>
      </w:r>
      <w:bookmarkEnd w:id="62"/>
      <w:r>
        <w:rPr>
          <w:rFonts w:hint="eastAsia" w:ascii="仿宋_GB2312" w:hAnsi="Times New Roman" w:eastAsia="仿宋_GB2312" w:cs="Times New Roman"/>
          <w:b/>
          <w:bCs/>
          <w:kern w:val="2"/>
          <w:sz w:val="28"/>
          <w:szCs w:val="28"/>
          <w:lang w:val="en-US" w:eastAsia="zh-CN" w:bidi="ar-SA"/>
        </w:rPr>
        <w:t xml:space="preserve"> </w:t>
      </w:r>
      <w:bookmarkEnd w:id="63"/>
    </w:p>
    <w:p>
      <w:pPr>
        <w:ind w:firstLine="420" w:firstLineChars="150"/>
        <w:rPr>
          <w:rFonts w:hint="eastAsia"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kern w:val="2"/>
          <w:sz w:val="28"/>
          <w:szCs w:val="28"/>
          <w:lang w:val="en-US" w:eastAsia="zh-CN" w:bidi="ar-SA"/>
        </w:rPr>
        <w:t>以学生为主体，以培养和输送高水平体育后备人才为目的，以适应社会需求为导向，建立了“学科教育—技能训练—社会需求”的教学体系，形成“三个模块”教学模式。第一模块：公共基础教学模块，开设人文社科和素质教育课程，突出“持续发展”理念。第二模块：专业实践教学模块，通过理论与实践的结合，突出学与训的结合，培养具有较高运动技术水平的运动员。第三模块：技能培训模块，培养从事专项训练和体育俱乐部健身指导的技能型人才。</w:t>
      </w:r>
    </w:p>
    <w:p>
      <w:pPr>
        <w:ind w:firstLine="422" w:firstLineChars="150"/>
        <w:jc w:val="center"/>
        <w:rPr>
          <w:rFonts w:hint="eastAsia" w:ascii="仿宋_GB2312" w:hAnsi="Times New Roman" w:eastAsia="仿宋_GB2312" w:cs="Times New Roman"/>
          <w:b/>
          <w:bCs/>
          <w:kern w:val="2"/>
          <w:sz w:val="28"/>
          <w:szCs w:val="28"/>
          <w:lang w:val="en-US" w:eastAsia="zh-CN" w:bidi="ar-SA"/>
        </w:rPr>
      </w:pPr>
    </w:p>
    <w:p>
      <w:pPr>
        <w:ind w:firstLine="422" w:firstLineChars="150"/>
        <w:jc w:val="center"/>
        <w:rPr>
          <w:rFonts w:hint="eastAsia" w:ascii="仿宋_GB2312" w:hAnsi="Times New Roman" w:eastAsia="仿宋_GB2312" w:cs="Times New Roman"/>
          <w:b/>
          <w:bCs/>
          <w:kern w:val="2"/>
          <w:sz w:val="28"/>
          <w:szCs w:val="28"/>
          <w:lang w:val="en-US" w:eastAsia="zh-CN" w:bidi="ar-SA"/>
        </w:rPr>
      </w:pPr>
    </w:p>
    <w:p>
      <w:pPr>
        <w:ind w:firstLine="422" w:firstLineChars="150"/>
        <w:jc w:val="center"/>
        <w:rPr>
          <w:rFonts w:hint="eastAsia" w:ascii="仿宋_GB2312" w:hAnsi="Times New Roman" w:eastAsia="仿宋_GB2312" w:cs="Times New Roman"/>
          <w:b/>
          <w:bCs/>
          <w:kern w:val="2"/>
          <w:sz w:val="28"/>
          <w:szCs w:val="28"/>
          <w:lang w:val="en-US" w:eastAsia="zh-CN" w:bidi="ar-SA"/>
        </w:rPr>
      </w:pPr>
      <w:r>
        <w:rPr>
          <w:rFonts w:hint="eastAsia" w:ascii="仿宋_GB2312" w:hAnsi="Times New Roman" w:eastAsia="仿宋_GB2312" w:cs="Times New Roman"/>
          <w:b/>
          <w:bCs/>
          <w:kern w:val="2"/>
          <w:sz w:val="28"/>
          <w:szCs w:val="28"/>
          <w:lang w:val="en-US" w:eastAsia="zh-CN" w:bidi="ar-SA"/>
        </w:rPr>
        <w:t>运动训练专业教学安排表</w:t>
      </w:r>
    </w:p>
    <w:tbl>
      <w:tblPr>
        <w:tblStyle w:val="14"/>
        <w:tblW w:w="8779" w:type="dxa"/>
        <w:tblInd w:w="0" w:type="dxa"/>
        <w:tblBorders>
          <w:top w:val="single" w:color="F79646" w:sz="8" w:space="0"/>
          <w:left w:val="single" w:color="F79646" w:sz="8" w:space="0"/>
          <w:bottom w:val="single" w:color="F79646" w:sz="8" w:space="0"/>
          <w:right w:val="single" w:color="F79646" w:sz="8" w:space="0"/>
          <w:insideH w:val="none" w:color="auto" w:sz="0" w:space="0"/>
          <w:insideV w:val="none" w:color="auto" w:sz="0" w:space="0"/>
        </w:tblBorders>
        <w:tblLayout w:type="fixed"/>
        <w:tblCellMar>
          <w:top w:w="0" w:type="dxa"/>
          <w:left w:w="108" w:type="dxa"/>
          <w:bottom w:w="0" w:type="dxa"/>
          <w:right w:w="108" w:type="dxa"/>
        </w:tblCellMar>
      </w:tblPr>
      <w:tblGrid>
        <w:gridCol w:w="897"/>
        <w:gridCol w:w="1973"/>
        <w:gridCol w:w="1345"/>
        <w:gridCol w:w="1571"/>
        <w:gridCol w:w="2993"/>
      </w:tblGrid>
      <w:tr>
        <w:tblPrEx>
          <w:tblBorders>
            <w:top w:val="single" w:color="F79646" w:sz="8" w:space="0"/>
            <w:left w:val="single" w:color="F79646" w:sz="8" w:space="0"/>
            <w:bottom w:val="single" w:color="F79646" w:sz="8" w:space="0"/>
            <w:right w:val="single" w:color="F79646" w:sz="8"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F79646" w:sz="8" w:space="0"/>
              <w:left w:val="single" w:color="F79646" w:sz="8" w:space="0"/>
              <w:bottom w:val="single" w:color="F79646" w:sz="8" w:space="0"/>
              <w:right w:val="single" w:color="F79646" w:sz="8" w:space="0"/>
            </w:tcBorders>
            <w:shd w:val="clear" w:color="auto" w:fill="CCC0D9"/>
            <w:noWrap w:val="0"/>
            <w:vAlign w:val="center"/>
          </w:tcPr>
          <w:p>
            <w:pPr>
              <w:spacing w:line="400" w:lineRule="exact"/>
              <w:jc w:val="center"/>
              <w:rPr>
                <w:rFonts w:ascii="仿宋" w:hAnsi="仿宋" w:eastAsia="仿宋" w:cs="仿宋"/>
              </w:rPr>
            </w:pPr>
            <w:r>
              <w:rPr>
                <w:rFonts w:hint="eastAsia" w:ascii="仿宋" w:hAnsi="仿宋" w:eastAsia="仿宋" w:cs="仿宋"/>
              </w:rPr>
              <w:t>学时</w:t>
            </w:r>
          </w:p>
        </w:tc>
        <w:tc>
          <w:tcPr>
            <w:tcW w:w="1973" w:type="dxa"/>
            <w:tcBorders>
              <w:top w:val="single" w:color="F79646" w:sz="8" w:space="0"/>
              <w:bottom w:val="single" w:color="F79646" w:sz="8" w:space="0"/>
            </w:tcBorders>
            <w:shd w:val="clear" w:color="auto" w:fill="CCC0D9"/>
            <w:noWrap w:val="0"/>
            <w:vAlign w:val="center"/>
          </w:tcPr>
          <w:p>
            <w:pPr>
              <w:spacing w:line="400" w:lineRule="exact"/>
              <w:jc w:val="center"/>
              <w:rPr>
                <w:rFonts w:ascii="仿宋" w:hAnsi="仿宋" w:eastAsia="仿宋" w:cs="仿宋"/>
              </w:rPr>
            </w:pPr>
            <w:r>
              <w:rPr>
                <w:rFonts w:hint="eastAsia" w:ascii="仿宋" w:hAnsi="仿宋" w:eastAsia="仿宋" w:cs="仿宋"/>
              </w:rPr>
              <w:t>课程类别</w:t>
            </w:r>
          </w:p>
        </w:tc>
        <w:tc>
          <w:tcPr>
            <w:tcW w:w="1345" w:type="dxa"/>
            <w:tcBorders>
              <w:top w:val="single" w:color="F79646" w:sz="8" w:space="0"/>
              <w:left w:val="single" w:color="F79646" w:sz="8" w:space="0"/>
              <w:bottom w:val="single" w:color="F79646" w:sz="8" w:space="0"/>
              <w:right w:val="single" w:color="F79646" w:sz="8" w:space="0"/>
            </w:tcBorders>
            <w:shd w:val="clear" w:color="auto" w:fill="CCC0D9"/>
            <w:noWrap w:val="0"/>
            <w:vAlign w:val="center"/>
          </w:tcPr>
          <w:p>
            <w:pPr>
              <w:spacing w:line="400" w:lineRule="exact"/>
              <w:jc w:val="center"/>
              <w:rPr>
                <w:rFonts w:ascii="仿宋" w:hAnsi="仿宋" w:eastAsia="仿宋" w:cs="仿宋"/>
              </w:rPr>
            </w:pPr>
            <w:r>
              <w:rPr>
                <w:rFonts w:hint="eastAsia" w:ascii="仿宋" w:hAnsi="仿宋" w:eastAsia="仿宋" w:cs="仿宋"/>
              </w:rPr>
              <w:t>课程学时</w:t>
            </w:r>
          </w:p>
        </w:tc>
        <w:tc>
          <w:tcPr>
            <w:tcW w:w="1571" w:type="dxa"/>
            <w:tcBorders>
              <w:top w:val="single" w:color="F79646" w:sz="8" w:space="0"/>
              <w:bottom w:val="single" w:color="F79646" w:sz="8" w:space="0"/>
            </w:tcBorders>
            <w:shd w:val="clear" w:color="auto" w:fill="CCC0D9"/>
            <w:noWrap w:val="0"/>
            <w:vAlign w:val="center"/>
          </w:tcPr>
          <w:p>
            <w:pPr>
              <w:spacing w:line="400" w:lineRule="exact"/>
              <w:jc w:val="center"/>
              <w:rPr>
                <w:rFonts w:ascii="仿宋" w:hAnsi="仿宋" w:eastAsia="仿宋" w:cs="仿宋"/>
              </w:rPr>
            </w:pPr>
            <w:r>
              <w:rPr>
                <w:rFonts w:hint="eastAsia" w:ascii="仿宋" w:hAnsi="仿宋" w:eastAsia="仿宋" w:cs="仿宋"/>
              </w:rPr>
              <w:t>比例（%）</w:t>
            </w:r>
          </w:p>
        </w:tc>
        <w:tc>
          <w:tcPr>
            <w:tcW w:w="2993" w:type="dxa"/>
            <w:tcBorders>
              <w:top w:val="single" w:color="F79646" w:sz="8" w:space="0"/>
              <w:left w:val="single" w:color="F79646" w:sz="8" w:space="0"/>
              <w:bottom w:val="single" w:color="F79646" w:sz="8" w:space="0"/>
              <w:right w:val="single" w:color="F79646" w:sz="8" w:space="0"/>
            </w:tcBorders>
            <w:shd w:val="clear" w:color="auto" w:fill="CCC0D9"/>
            <w:noWrap w:val="0"/>
            <w:vAlign w:val="center"/>
          </w:tcPr>
          <w:p>
            <w:pPr>
              <w:jc w:val="center"/>
              <w:rPr>
                <w:rFonts w:ascii="仿宋" w:hAnsi="仿宋" w:eastAsia="仿宋" w:cs="仿宋"/>
                <w:color w:val="000000"/>
              </w:rPr>
            </w:pPr>
            <w:r>
              <w:rPr>
                <w:rFonts w:hint="eastAsia" w:ascii="仿宋" w:hAnsi="仿宋" w:eastAsia="仿宋" w:cs="仿宋"/>
              </w:rPr>
              <w:t>备注</w:t>
            </w:r>
          </w:p>
        </w:tc>
      </w:tr>
      <w:tr>
        <w:tblPrEx>
          <w:tblBorders>
            <w:top w:val="single" w:color="F79646" w:sz="8" w:space="0"/>
            <w:left w:val="single" w:color="F79646" w:sz="8" w:space="0"/>
            <w:bottom w:val="single" w:color="F79646" w:sz="8" w:space="0"/>
            <w:right w:val="single" w:color="F79646" w:sz="8"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vMerge w:val="restart"/>
            <w:tcBorders>
              <w:left w:val="single" w:color="F79646" w:sz="8" w:space="0"/>
              <w:right w:val="single" w:color="F79646" w:sz="8" w:space="0"/>
            </w:tcBorders>
            <w:shd w:val="clear" w:color="auto" w:fill="CCC0D9"/>
            <w:noWrap w:val="0"/>
            <w:vAlign w:val="center"/>
          </w:tcPr>
          <w:p>
            <w:pPr>
              <w:spacing w:line="400" w:lineRule="exact"/>
              <w:jc w:val="center"/>
              <w:rPr>
                <w:rFonts w:ascii="仿宋" w:hAnsi="仿宋" w:eastAsia="仿宋" w:cs="仿宋"/>
              </w:rPr>
            </w:pPr>
            <w:r>
              <w:rPr>
                <w:rFonts w:hint="eastAsia" w:ascii="仿宋" w:hAnsi="仿宋" w:eastAsia="仿宋" w:cs="仿宋"/>
              </w:rPr>
              <w:t>理论</w:t>
            </w:r>
          </w:p>
          <w:p>
            <w:pPr>
              <w:spacing w:line="400" w:lineRule="exact"/>
              <w:jc w:val="center"/>
              <w:rPr>
                <w:rFonts w:ascii="仿宋" w:hAnsi="仿宋" w:eastAsia="仿宋" w:cs="仿宋"/>
              </w:rPr>
            </w:pPr>
            <w:r>
              <w:rPr>
                <w:rFonts w:hint="eastAsia" w:ascii="仿宋" w:hAnsi="仿宋" w:eastAsia="仿宋" w:cs="仿宋"/>
              </w:rPr>
              <w:t>学时</w:t>
            </w:r>
          </w:p>
        </w:tc>
        <w:tc>
          <w:tcPr>
            <w:tcW w:w="1973" w:type="dxa"/>
            <w:shd w:val="clear" w:color="auto" w:fill="CCC0D9"/>
            <w:noWrap w:val="0"/>
            <w:vAlign w:val="center"/>
          </w:tcPr>
          <w:p>
            <w:pPr>
              <w:spacing w:line="400" w:lineRule="exact"/>
              <w:jc w:val="center"/>
              <w:rPr>
                <w:rFonts w:ascii="仿宋" w:hAnsi="仿宋" w:eastAsia="仿宋" w:cs="仿宋"/>
              </w:rPr>
            </w:pPr>
            <w:r>
              <w:rPr>
                <w:rFonts w:hint="eastAsia" w:ascii="仿宋" w:hAnsi="仿宋" w:eastAsia="仿宋" w:cs="仿宋"/>
              </w:rPr>
              <w:t>公共基础课</w:t>
            </w:r>
          </w:p>
        </w:tc>
        <w:tc>
          <w:tcPr>
            <w:tcW w:w="1345" w:type="dxa"/>
            <w:tcBorders>
              <w:left w:val="single" w:color="F79646" w:sz="8" w:space="0"/>
              <w:right w:val="single" w:color="F79646" w:sz="8" w:space="0"/>
            </w:tcBorders>
            <w:shd w:val="clear" w:color="auto" w:fill="CCC0D9"/>
            <w:noWrap w:val="0"/>
            <w:vAlign w:val="center"/>
          </w:tcPr>
          <w:p>
            <w:pPr>
              <w:spacing w:line="400" w:lineRule="exact"/>
              <w:jc w:val="center"/>
              <w:rPr>
                <w:rFonts w:ascii="仿宋" w:hAnsi="仿宋" w:eastAsia="仿宋" w:cs="仿宋"/>
              </w:rPr>
            </w:pPr>
            <w:r>
              <w:rPr>
                <w:rFonts w:hint="eastAsia" w:ascii="仿宋" w:hAnsi="仿宋" w:eastAsia="仿宋" w:cs="仿宋"/>
              </w:rPr>
              <w:t>620</w:t>
            </w:r>
          </w:p>
        </w:tc>
        <w:tc>
          <w:tcPr>
            <w:tcW w:w="1571" w:type="dxa"/>
            <w:shd w:val="clear" w:color="auto" w:fill="CCC0D9"/>
            <w:noWrap w:val="0"/>
            <w:vAlign w:val="center"/>
          </w:tcPr>
          <w:p>
            <w:pPr>
              <w:spacing w:line="400" w:lineRule="exact"/>
              <w:jc w:val="center"/>
              <w:rPr>
                <w:rFonts w:ascii="仿宋" w:hAnsi="仿宋" w:eastAsia="仿宋" w:cs="仿宋"/>
              </w:rPr>
            </w:pPr>
            <w:r>
              <w:rPr>
                <w:rFonts w:hint="eastAsia" w:ascii="仿宋" w:hAnsi="仿宋" w:eastAsia="仿宋" w:cs="仿宋"/>
              </w:rPr>
              <w:t>24.8</w:t>
            </w:r>
          </w:p>
        </w:tc>
        <w:tc>
          <w:tcPr>
            <w:tcW w:w="2993" w:type="dxa"/>
            <w:vMerge w:val="restart"/>
            <w:tcBorders>
              <w:left w:val="single" w:color="F79646" w:sz="8" w:space="0"/>
              <w:right w:val="single" w:color="F79646" w:sz="8" w:space="0"/>
            </w:tcBorders>
            <w:shd w:val="clear" w:color="auto" w:fill="CCC0D9"/>
            <w:noWrap w:val="0"/>
            <w:vAlign w:val="center"/>
          </w:tcPr>
          <w:p>
            <w:pPr>
              <w:rPr>
                <w:rFonts w:ascii="仿宋" w:hAnsi="仿宋" w:eastAsia="仿宋" w:cs="仿宋"/>
              </w:rPr>
            </w:pPr>
            <w:r>
              <w:rPr>
                <w:rFonts w:hint="eastAsia" w:ascii="仿宋" w:hAnsi="仿宋" w:eastAsia="仿宋" w:cs="仿宋"/>
              </w:rPr>
              <w:t>公共基础课程开设：</w:t>
            </w:r>
          </w:p>
          <w:p>
            <w:pPr>
              <w:rPr>
                <w:rFonts w:ascii="仿宋" w:hAnsi="仿宋" w:eastAsia="仿宋" w:cs="仿宋"/>
              </w:rPr>
            </w:pPr>
            <w:r>
              <w:rPr>
                <w:rFonts w:hint="eastAsia" w:ascii="仿宋" w:hAnsi="仿宋" w:eastAsia="仿宋" w:cs="仿宋"/>
              </w:rPr>
              <w:t>职业生涯规划、职业道德与法律、经济政治与社会、哲学与人生、语文、数学、英语、物理、化学、计算机应用基础、公共艺术、美术</w:t>
            </w:r>
          </w:p>
          <w:p>
            <w:pPr>
              <w:rPr>
                <w:rFonts w:ascii="仿宋" w:hAnsi="仿宋" w:eastAsia="仿宋" w:cs="仿宋"/>
              </w:rPr>
            </w:pPr>
            <w:r>
              <w:rPr>
                <w:rFonts w:hint="eastAsia" w:ascii="仿宋" w:hAnsi="仿宋" w:eastAsia="仿宋" w:cs="仿宋"/>
              </w:rPr>
              <w:t>专业理论课程开设：</w:t>
            </w:r>
          </w:p>
          <w:p>
            <w:pPr>
              <w:rPr>
                <w:rFonts w:ascii="仿宋" w:hAnsi="仿宋" w:eastAsia="仿宋" w:cs="仿宋"/>
              </w:rPr>
            </w:pPr>
            <w:r>
              <w:rPr>
                <w:rFonts w:hint="eastAsia" w:ascii="仿宋" w:hAnsi="仿宋" w:eastAsia="仿宋" w:cs="仿宋"/>
              </w:rPr>
              <w:t>心理、解剖、生理、保健、教育</w:t>
            </w:r>
          </w:p>
          <w:p>
            <w:pPr>
              <w:rPr>
                <w:rFonts w:ascii="仿宋" w:hAnsi="仿宋" w:eastAsia="仿宋" w:cs="仿宋"/>
              </w:rPr>
            </w:pPr>
          </w:p>
        </w:tc>
      </w:tr>
      <w:tr>
        <w:tblPrEx>
          <w:tblBorders>
            <w:top w:val="single" w:color="F79646" w:sz="8" w:space="0"/>
            <w:left w:val="single" w:color="F79646" w:sz="8" w:space="0"/>
            <w:bottom w:val="single" w:color="F79646" w:sz="8" w:space="0"/>
            <w:right w:val="single" w:color="F79646" w:sz="8"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vMerge w:val="continue"/>
            <w:tcBorders>
              <w:left w:val="single" w:color="F79646" w:sz="8" w:space="0"/>
              <w:right w:val="single" w:color="F79646" w:sz="8" w:space="0"/>
            </w:tcBorders>
            <w:shd w:val="clear" w:color="auto" w:fill="FBD4B4"/>
            <w:noWrap w:val="0"/>
            <w:vAlign w:val="center"/>
          </w:tcPr>
          <w:p>
            <w:pPr>
              <w:spacing w:line="400" w:lineRule="exact"/>
              <w:jc w:val="center"/>
              <w:rPr>
                <w:rFonts w:ascii="仿宋" w:hAnsi="仿宋" w:eastAsia="仿宋" w:cs="仿宋"/>
              </w:rPr>
            </w:pPr>
          </w:p>
        </w:tc>
        <w:tc>
          <w:tcPr>
            <w:tcW w:w="1973" w:type="dxa"/>
            <w:tcBorders>
              <w:top w:val="single" w:color="F79646" w:sz="8" w:space="0"/>
              <w:bottom w:val="single" w:color="F79646" w:sz="8" w:space="0"/>
            </w:tcBorders>
            <w:shd w:val="clear" w:color="auto" w:fill="FBD4B4"/>
            <w:noWrap w:val="0"/>
            <w:vAlign w:val="center"/>
          </w:tcPr>
          <w:p>
            <w:pPr>
              <w:spacing w:line="400" w:lineRule="exact"/>
              <w:jc w:val="center"/>
              <w:rPr>
                <w:rFonts w:ascii="仿宋" w:hAnsi="仿宋" w:eastAsia="仿宋" w:cs="仿宋"/>
              </w:rPr>
            </w:pPr>
            <w:r>
              <w:rPr>
                <w:rFonts w:hint="eastAsia" w:ascii="仿宋" w:hAnsi="仿宋" w:eastAsia="仿宋" w:cs="仿宋"/>
              </w:rPr>
              <w:t>专业理论课</w:t>
            </w:r>
          </w:p>
        </w:tc>
        <w:tc>
          <w:tcPr>
            <w:tcW w:w="1345" w:type="dxa"/>
            <w:tcBorders>
              <w:top w:val="single" w:color="F79646" w:sz="8" w:space="0"/>
              <w:left w:val="single" w:color="F79646" w:sz="8" w:space="0"/>
              <w:bottom w:val="single" w:color="F79646" w:sz="8" w:space="0"/>
              <w:right w:val="single" w:color="F79646" w:sz="8" w:space="0"/>
            </w:tcBorders>
            <w:shd w:val="clear" w:color="auto" w:fill="FBD4B4"/>
            <w:noWrap w:val="0"/>
            <w:vAlign w:val="center"/>
          </w:tcPr>
          <w:p>
            <w:pPr>
              <w:spacing w:line="400" w:lineRule="exact"/>
              <w:jc w:val="center"/>
              <w:rPr>
                <w:rFonts w:ascii="仿宋" w:hAnsi="仿宋" w:eastAsia="仿宋" w:cs="仿宋"/>
              </w:rPr>
            </w:pPr>
            <w:r>
              <w:rPr>
                <w:rFonts w:hint="eastAsia" w:ascii="仿宋" w:hAnsi="仿宋" w:eastAsia="仿宋" w:cs="仿宋"/>
              </w:rPr>
              <w:t>380</w:t>
            </w:r>
          </w:p>
        </w:tc>
        <w:tc>
          <w:tcPr>
            <w:tcW w:w="1571" w:type="dxa"/>
            <w:tcBorders>
              <w:top w:val="single" w:color="F79646" w:sz="8" w:space="0"/>
              <w:bottom w:val="single" w:color="F79646" w:sz="8" w:space="0"/>
            </w:tcBorders>
            <w:shd w:val="clear" w:color="auto" w:fill="FBD4B4"/>
            <w:noWrap w:val="0"/>
            <w:vAlign w:val="center"/>
          </w:tcPr>
          <w:p>
            <w:pPr>
              <w:spacing w:line="400" w:lineRule="exact"/>
              <w:jc w:val="center"/>
              <w:rPr>
                <w:rFonts w:ascii="仿宋" w:hAnsi="仿宋" w:eastAsia="仿宋" w:cs="仿宋"/>
              </w:rPr>
            </w:pPr>
            <w:r>
              <w:rPr>
                <w:rFonts w:hint="eastAsia" w:ascii="仿宋" w:hAnsi="仿宋" w:eastAsia="仿宋" w:cs="仿宋"/>
              </w:rPr>
              <w:t>15.3</w:t>
            </w:r>
          </w:p>
        </w:tc>
        <w:tc>
          <w:tcPr>
            <w:tcW w:w="2993" w:type="dxa"/>
            <w:vMerge w:val="continue"/>
            <w:tcBorders>
              <w:left w:val="single" w:color="F79646" w:sz="8" w:space="0"/>
              <w:right w:val="single" w:color="F79646" w:sz="8" w:space="0"/>
            </w:tcBorders>
            <w:noWrap w:val="0"/>
            <w:vAlign w:val="center"/>
          </w:tcPr>
          <w:p>
            <w:pPr>
              <w:jc w:val="center"/>
              <w:rPr>
                <w:rFonts w:ascii="仿宋" w:hAnsi="仿宋" w:eastAsia="仿宋" w:cs="仿宋"/>
              </w:rPr>
            </w:pPr>
          </w:p>
        </w:tc>
      </w:tr>
      <w:tr>
        <w:tblPrEx>
          <w:tblBorders>
            <w:top w:val="single" w:color="F79646" w:sz="8" w:space="0"/>
            <w:left w:val="single" w:color="F79646" w:sz="8" w:space="0"/>
            <w:bottom w:val="single" w:color="F79646" w:sz="8" w:space="0"/>
            <w:right w:val="single" w:color="F79646" w:sz="8"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vMerge w:val="continue"/>
            <w:tcBorders>
              <w:left w:val="single" w:color="F79646" w:sz="8" w:space="0"/>
              <w:right w:val="single" w:color="F79646" w:sz="8" w:space="0"/>
            </w:tcBorders>
            <w:shd w:val="clear" w:color="auto" w:fill="FBD4B4"/>
            <w:noWrap w:val="0"/>
            <w:vAlign w:val="center"/>
          </w:tcPr>
          <w:p>
            <w:pPr>
              <w:spacing w:line="400" w:lineRule="exact"/>
              <w:jc w:val="center"/>
              <w:rPr>
                <w:rFonts w:ascii="仿宋" w:hAnsi="仿宋" w:eastAsia="仿宋" w:cs="仿宋"/>
              </w:rPr>
            </w:pPr>
          </w:p>
        </w:tc>
        <w:tc>
          <w:tcPr>
            <w:tcW w:w="1973" w:type="dxa"/>
            <w:shd w:val="clear" w:color="auto" w:fill="FBD4B4"/>
            <w:noWrap w:val="0"/>
            <w:vAlign w:val="center"/>
          </w:tcPr>
          <w:p>
            <w:pPr>
              <w:spacing w:line="400" w:lineRule="exact"/>
              <w:jc w:val="center"/>
              <w:rPr>
                <w:rFonts w:ascii="仿宋" w:hAnsi="仿宋" w:eastAsia="仿宋" w:cs="仿宋"/>
              </w:rPr>
            </w:pPr>
            <w:r>
              <w:rPr>
                <w:rFonts w:hint="eastAsia" w:ascii="仿宋" w:hAnsi="仿宋" w:eastAsia="仿宋" w:cs="仿宋"/>
              </w:rPr>
              <w:t>小计</w:t>
            </w:r>
          </w:p>
        </w:tc>
        <w:tc>
          <w:tcPr>
            <w:tcW w:w="1345" w:type="dxa"/>
            <w:tcBorders>
              <w:left w:val="single" w:color="F79646" w:sz="8" w:space="0"/>
              <w:right w:val="single" w:color="F79646" w:sz="8" w:space="0"/>
            </w:tcBorders>
            <w:shd w:val="clear" w:color="auto" w:fill="FBD4B4"/>
            <w:noWrap w:val="0"/>
            <w:vAlign w:val="center"/>
          </w:tcPr>
          <w:p>
            <w:pPr>
              <w:spacing w:line="400" w:lineRule="exact"/>
              <w:jc w:val="center"/>
              <w:rPr>
                <w:rFonts w:ascii="仿宋" w:hAnsi="仿宋" w:eastAsia="仿宋" w:cs="仿宋"/>
              </w:rPr>
            </w:pPr>
            <w:r>
              <w:rPr>
                <w:rFonts w:hint="eastAsia" w:ascii="仿宋" w:hAnsi="仿宋" w:eastAsia="仿宋" w:cs="仿宋"/>
              </w:rPr>
              <w:t>1000</w:t>
            </w:r>
          </w:p>
        </w:tc>
        <w:tc>
          <w:tcPr>
            <w:tcW w:w="1571" w:type="dxa"/>
            <w:shd w:val="clear" w:color="auto" w:fill="FBD4B4"/>
            <w:noWrap w:val="0"/>
            <w:vAlign w:val="center"/>
          </w:tcPr>
          <w:p>
            <w:pPr>
              <w:spacing w:line="400" w:lineRule="exact"/>
              <w:jc w:val="center"/>
              <w:rPr>
                <w:rFonts w:ascii="仿宋" w:hAnsi="仿宋" w:eastAsia="仿宋" w:cs="仿宋"/>
              </w:rPr>
            </w:pPr>
            <w:r>
              <w:rPr>
                <w:rFonts w:hint="eastAsia" w:ascii="仿宋" w:hAnsi="仿宋" w:eastAsia="仿宋" w:cs="仿宋"/>
              </w:rPr>
              <w:t>40.1</w:t>
            </w:r>
          </w:p>
        </w:tc>
        <w:tc>
          <w:tcPr>
            <w:tcW w:w="2993" w:type="dxa"/>
            <w:vMerge w:val="continue"/>
            <w:tcBorders>
              <w:left w:val="single" w:color="F79646" w:sz="8" w:space="0"/>
              <w:right w:val="single" w:color="F79646" w:sz="8" w:space="0"/>
            </w:tcBorders>
            <w:noWrap w:val="0"/>
            <w:vAlign w:val="center"/>
          </w:tcPr>
          <w:p>
            <w:pPr>
              <w:jc w:val="center"/>
              <w:rPr>
                <w:rFonts w:ascii="仿宋" w:hAnsi="仿宋" w:eastAsia="仿宋" w:cs="仿宋"/>
              </w:rPr>
            </w:pPr>
          </w:p>
        </w:tc>
      </w:tr>
      <w:tr>
        <w:tblPrEx>
          <w:tblBorders>
            <w:top w:val="single" w:color="F79646" w:sz="8" w:space="0"/>
            <w:left w:val="single" w:color="F79646" w:sz="8" w:space="0"/>
            <w:bottom w:val="single" w:color="F79646" w:sz="8" w:space="0"/>
            <w:right w:val="single" w:color="F79646" w:sz="8"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vMerge w:val="restart"/>
            <w:tcBorders>
              <w:top w:val="single" w:color="F79646" w:sz="8" w:space="0"/>
              <w:left w:val="single" w:color="F79646" w:sz="8" w:space="0"/>
              <w:right w:val="single" w:color="F79646" w:sz="8" w:space="0"/>
            </w:tcBorders>
            <w:shd w:val="clear" w:color="auto" w:fill="DBEEF3"/>
            <w:noWrap w:val="0"/>
            <w:vAlign w:val="center"/>
          </w:tcPr>
          <w:p>
            <w:pPr>
              <w:spacing w:line="400" w:lineRule="exact"/>
              <w:jc w:val="center"/>
              <w:rPr>
                <w:rFonts w:ascii="仿宋" w:hAnsi="仿宋" w:eastAsia="仿宋" w:cs="仿宋"/>
              </w:rPr>
            </w:pPr>
            <w:r>
              <w:rPr>
                <w:rFonts w:hint="eastAsia" w:ascii="仿宋" w:hAnsi="仿宋" w:eastAsia="仿宋" w:cs="仿宋"/>
              </w:rPr>
              <w:t>实践</w:t>
            </w:r>
          </w:p>
          <w:p>
            <w:pPr>
              <w:spacing w:line="400" w:lineRule="exact"/>
              <w:jc w:val="center"/>
              <w:rPr>
                <w:rFonts w:ascii="仿宋" w:hAnsi="仿宋" w:eastAsia="仿宋" w:cs="仿宋"/>
              </w:rPr>
            </w:pPr>
            <w:r>
              <w:rPr>
                <w:rFonts w:hint="eastAsia" w:ascii="仿宋" w:hAnsi="仿宋" w:eastAsia="仿宋" w:cs="仿宋"/>
              </w:rPr>
              <w:t>学时</w:t>
            </w:r>
          </w:p>
        </w:tc>
        <w:tc>
          <w:tcPr>
            <w:tcW w:w="1973" w:type="dxa"/>
            <w:tcBorders>
              <w:top w:val="single" w:color="F79646" w:sz="8" w:space="0"/>
              <w:bottom w:val="single" w:color="F79646" w:sz="8" w:space="0"/>
            </w:tcBorders>
            <w:shd w:val="clear" w:color="auto" w:fill="DBEEF3"/>
            <w:noWrap w:val="0"/>
            <w:vAlign w:val="center"/>
          </w:tcPr>
          <w:p>
            <w:pPr>
              <w:spacing w:line="400" w:lineRule="exact"/>
              <w:jc w:val="center"/>
              <w:rPr>
                <w:rFonts w:ascii="仿宋" w:hAnsi="仿宋" w:eastAsia="仿宋" w:cs="仿宋"/>
              </w:rPr>
            </w:pPr>
            <w:r>
              <w:rPr>
                <w:rFonts w:hint="eastAsia" w:ascii="仿宋" w:hAnsi="仿宋" w:eastAsia="仿宋" w:cs="仿宋"/>
              </w:rPr>
              <w:t>专业实践课</w:t>
            </w:r>
          </w:p>
        </w:tc>
        <w:tc>
          <w:tcPr>
            <w:tcW w:w="1345" w:type="dxa"/>
            <w:tcBorders>
              <w:top w:val="single" w:color="F79646" w:sz="8" w:space="0"/>
              <w:left w:val="single" w:color="F79646" w:sz="8" w:space="0"/>
              <w:bottom w:val="single" w:color="F79646" w:sz="8" w:space="0"/>
              <w:right w:val="single" w:color="F79646" w:sz="8" w:space="0"/>
            </w:tcBorders>
            <w:shd w:val="clear" w:color="auto" w:fill="DBEEF3"/>
            <w:noWrap w:val="0"/>
            <w:vAlign w:val="center"/>
          </w:tcPr>
          <w:p>
            <w:pPr>
              <w:spacing w:line="400" w:lineRule="exact"/>
              <w:jc w:val="center"/>
              <w:rPr>
                <w:rFonts w:ascii="仿宋" w:hAnsi="仿宋" w:eastAsia="仿宋" w:cs="仿宋"/>
              </w:rPr>
            </w:pPr>
            <w:r>
              <w:rPr>
                <w:rFonts w:hint="eastAsia" w:ascii="仿宋" w:hAnsi="仿宋" w:eastAsia="仿宋" w:cs="仿宋"/>
              </w:rPr>
              <w:t>1224</w:t>
            </w:r>
          </w:p>
        </w:tc>
        <w:tc>
          <w:tcPr>
            <w:tcW w:w="1571" w:type="dxa"/>
            <w:tcBorders>
              <w:top w:val="single" w:color="F79646" w:sz="8" w:space="0"/>
              <w:bottom w:val="single" w:color="F79646" w:sz="8" w:space="0"/>
            </w:tcBorders>
            <w:shd w:val="clear" w:color="auto" w:fill="DBEEF3"/>
            <w:noWrap w:val="0"/>
            <w:vAlign w:val="center"/>
          </w:tcPr>
          <w:p>
            <w:pPr>
              <w:spacing w:line="400" w:lineRule="exact"/>
              <w:jc w:val="center"/>
              <w:rPr>
                <w:rFonts w:ascii="仿宋" w:hAnsi="仿宋" w:eastAsia="仿宋" w:cs="仿宋"/>
              </w:rPr>
            </w:pPr>
            <w:r>
              <w:rPr>
                <w:rFonts w:hint="eastAsia" w:ascii="仿宋" w:hAnsi="仿宋" w:eastAsia="仿宋" w:cs="仿宋"/>
              </w:rPr>
              <w:t>49</w:t>
            </w:r>
          </w:p>
        </w:tc>
        <w:tc>
          <w:tcPr>
            <w:tcW w:w="2993" w:type="dxa"/>
            <w:vMerge w:val="continue"/>
            <w:tcBorders>
              <w:left w:val="single" w:color="F79646" w:sz="8" w:space="0"/>
              <w:right w:val="single" w:color="F79646" w:sz="8" w:space="0"/>
            </w:tcBorders>
            <w:noWrap w:val="0"/>
            <w:vAlign w:val="center"/>
          </w:tcPr>
          <w:p>
            <w:pPr>
              <w:jc w:val="center"/>
              <w:rPr>
                <w:rFonts w:ascii="仿宋" w:hAnsi="仿宋" w:eastAsia="仿宋" w:cs="仿宋"/>
              </w:rPr>
            </w:pPr>
          </w:p>
        </w:tc>
      </w:tr>
      <w:tr>
        <w:tblPrEx>
          <w:tblBorders>
            <w:top w:val="single" w:color="F79646" w:sz="8" w:space="0"/>
            <w:left w:val="single" w:color="F79646" w:sz="8" w:space="0"/>
            <w:bottom w:val="single" w:color="F79646" w:sz="8" w:space="0"/>
            <w:right w:val="single" w:color="F79646" w:sz="8"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vMerge w:val="continue"/>
            <w:tcBorders>
              <w:left w:val="single" w:color="F79646" w:sz="8" w:space="0"/>
              <w:right w:val="single" w:color="F79646" w:sz="8" w:space="0"/>
            </w:tcBorders>
            <w:shd w:val="clear" w:color="auto" w:fill="DBEEF3"/>
            <w:noWrap w:val="0"/>
            <w:vAlign w:val="center"/>
          </w:tcPr>
          <w:p>
            <w:pPr>
              <w:spacing w:line="400" w:lineRule="exact"/>
              <w:jc w:val="center"/>
              <w:rPr>
                <w:rFonts w:ascii="仿宋" w:hAnsi="仿宋" w:eastAsia="仿宋" w:cs="仿宋"/>
              </w:rPr>
            </w:pPr>
          </w:p>
        </w:tc>
        <w:tc>
          <w:tcPr>
            <w:tcW w:w="1973" w:type="dxa"/>
            <w:shd w:val="clear" w:color="auto" w:fill="DBEEF3"/>
            <w:noWrap w:val="0"/>
            <w:vAlign w:val="center"/>
          </w:tcPr>
          <w:p>
            <w:pPr>
              <w:spacing w:line="400" w:lineRule="exact"/>
              <w:jc w:val="center"/>
              <w:rPr>
                <w:rFonts w:ascii="仿宋" w:hAnsi="仿宋" w:eastAsia="仿宋" w:cs="仿宋"/>
              </w:rPr>
            </w:pPr>
            <w:r>
              <w:rPr>
                <w:rFonts w:hint="eastAsia" w:ascii="仿宋" w:hAnsi="仿宋" w:eastAsia="仿宋" w:cs="仿宋"/>
              </w:rPr>
              <w:t>技能培训课</w:t>
            </w:r>
          </w:p>
        </w:tc>
        <w:tc>
          <w:tcPr>
            <w:tcW w:w="1345" w:type="dxa"/>
            <w:tcBorders>
              <w:left w:val="single" w:color="F79646" w:sz="8" w:space="0"/>
              <w:right w:val="single" w:color="F79646" w:sz="8" w:space="0"/>
            </w:tcBorders>
            <w:shd w:val="clear" w:color="auto" w:fill="DBEEF3"/>
            <w:noWrap w:val="0"/>
            <w:vAlign w:val="center"/>
          </w:tcPr>
          <w:p>
            <w:pPr>
              <w:spacing w:line="400" w:lineRule="exact"/>
              <w:jc w:val="center"/>
              <w:rPr>
                <w:rFonts w:ascii="仿宋" w:hAnsi="仿宋" w:eastAsia="仿宋" w:cs="仿宋"/>
              </w:rPr>
            </w:pPr>
            <w:r>
              <w:rPr>
                <w:rFonts w:hint="eastAsia" w:ascii="仿宋" w:hAnsi="仿宋" w:eastAsia="仿宋" w:cs="仿宋"/>
              </w:rPr>
              <w:t>272</w:t>
            </w:r>
          </w:p>
        </w:tc>
        <w:tc>
          <w:tcPr>
            <w:tcW w:w="1571" w:type="dxa"/>
            <w:shd w:val="clear" w:color="auto" w:fill="DBEEF3"/>
            <w:noWrap w:val="0"/>
            <w:vAlign w:val="center"/>
          </w:tcPr>
          <w:p>
            <w:pPr>
              <w:spacing w:line="400" w:lineRule="exact"/>
              <w:jc w:val="center"/>
              <w:rPr>
                <w:rFonts w:ascii="仿宋" w:hAnsi="仿宋" w:eastAsia="仿宋" w:cs="仿宋"/>
              </w:rPr>
            </w:pPr>
            <w:r>
              <w:rPr>
                <w:rFonts w:hint="eastAsia" w:ascii="仿宋" w:hAnsi="仿宋" w:eastAsia="仿宋" w:cs="仿宋"/>
              </w:rPr>
              <w:t>10.9</w:t>
            </w:r>
          </w:p>
        </w:tc>
        <w:tc>
          <w:tcPr>
            <w:tcW w:w="2993" w:type="dxa"/>
            <w:vMerge w:val="continue"/>
            <w:tcBorders>
              <w:left w:val="single" w:color="F79646" w:sz="8" w:space="0"/>
              <w:right w:val="single" w:color="F79646" w:sz="8" w:space="0"/>
            </w:tcBorders>
            <w:noWrap w:val="0"/>
            <w:vAlign w:val="center"/>
          </w:tcPr>
          <w:p>
            <w:pPr>
              <w:jc w:val="center"/>
              <w:rPr>
                <w:rFonts w:ascii="仿宋" w:hAnsi="仿宋" w:eastAsia="仿宋" w:cs="仿宋"/>
              </w:rPr>
            </w:pPr>
          </w:p>
        </w:tc>
      </w:tr>
      <w:tr>
        <w:tblPrEx>
          <w:tblBorders>
            <w:top w:val="single" w:color="F79646" w:sz="8" w:space="0"/>
            <w:left w:val="single" w:color="F79646" w:sz="8" w:space="0"/>
            <w:bottom w:val="single" w:color="F79646" w:sz="8" w:space="0"/>
            <w:right w:val="single" w:color="F79646" w:sz="8"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vMerge w:val="continue"/>
            <w:tcBorders>
              <w:left w:val="single" w:color="F79646" w:sz="8" w:space="0"/>
              <w:bottom w:val="single" w:color="F79646" w:sz="8" w:space="0"/>
              <w:right w:val="single" w:color="F79646" w:sz="8" w:space="0"/>
            </w:tcBorders>
            <w:shd w:val="clear" w:color="auto" w:fill="DBEEF3"/>
            <w:noWrap w:val="0"/>
            <w:vAlign w:val="center"/>
          </w:tcPr>
          <w:p>
            <w:pPr>
              <w:spacing w:line="400" w:lineRule="exact"/>
              <w:jc w:val="center"/>
              <w:rPr>
                <w:rFonts w:ascii="仿宋" w:hAnsi="仿宋" w:eastAsia="仿宋" w:cs="仿宋"/>
              </w:rPr>
            </w:pPr>
          </w:p>
        </w:tc>
        <w:tc>
          <w:tcPr>
            <w:tcW w:w="1973" w:type="dxa"/>
            <w:tcBorders>
              <w:top w:val="single" w:color="F79646" w:sz="8" w:space="0"/>
              <w:bottom w:val="single" w:color="F79646" w:sz="8" w:space="0"/>
            </w:tcBorders>
            <w:shd w:val="clear" w:color="auto" w:fill="DBEEF3"/>
            <w:noWrap w:val="0"/>
            <w:vAlign w:val="center"/>
          </w:tcPr>
          <w:p>
            <w:pPr>
              <w:spacing w:line="400" w:lineRule="exact"/>
              <w:jc w:val="center"/>
              <w:rPr>
                <w:rFonts w:ascii="仿宋" w:hAnsi="仿宋" w:eastAsia="仿宋" w:cs="仿宋"/>
              </w:rPr>
            </w:pPr>
            <w:r>
              <w:rPr>
                <w:rFonts w:hint="eastAsia" w:ascii="仿宋" w:hAnsi="仿宋" w:eastAsia="仿宋" w:cs="仿宋"/>
              </w:rPr>
              <w:t>小计</w:t>
            </w:r>
          </w:p>
        </w:tc>
        <w:tc>
          <w:tcPr>
            <w:tcW w:w="1345" w:type="dxa"/>
            <w:tcBorders>
              <w:top w:val="single" w:color="F79646" w:sz="8" w:space="0"/>
              <w:left w:val="single" w:color="F79646" w:sz="8" w:space="0"/>
              <w:bottom w:val="single" w:color="F79646" w:sz="8" w:space="0"/>
              <w:right w:val="single" w:color="F79646" w:sz="8" w:space="0"/>
            </w:tcBorders>
            <w:shd w:val="clear" w:color="auto" w:fill="DBEEF3"/>
            <w:noWrap w:val="0"/>
            <w:vAlign w:val="center"/>
          </w:tcPr>
          <w:p>
            <w:pPr>
              <w:spacing w:line="400" w:lineRule="exact"/>
              <w:jc w:val="center"/>
              <w:rPr>
                <w:rFonts w:ascii="仿宋" w:hAnsi="仿宋" w:eastAsia="仿宋" w:cs="仿宋"/>
              </w:rPr>
            </w:pPr>
            <w:r>
              <w:rPr>
                <w:rFonts w:hint="eastAsia" w:ascii="仿宋" w:hAnsi="仿宋" w:eastAsia="仿宋" w:cs="仿宋"/>
              </w:rPr>
              <w:t>1496</w:t>
            </w:r>
          </w:p>
        </w:tc>
        <w:tc>
          <w:tcPr>
            <w:tcW w:w="1571" w:type="dxa"/>
            <w:tcBorders>
              <w:top w:val="single" w:color="F79646" w:sz="8" w:space="0"/>
              <w:bottom w:val="single" w:color="F79646" w:sz="8" w:space="0"/>
            </w:tcBorders>
            <w:shd w:val="clear" w:color="auto" w:fill="DBEEF3"/>
            <w:noWrap w:val="0"/>
            <w:vAlign w:val="center"/>
          </w:tcPr>
          <w:p>
            <w:pPr>
              <w:spacing w:line="400" w:lineRule="exact"/>
              <w:jc w:val="center"/>
              <w:rPr>
                <w:rFonts w:ascii="仿宋" w:hAnsi="仿宋" w:eastAsia="仿宋" w:cs="仿宋"/>
              </w:rPr>
            </w:pPr>
            <w:r>
              <w:rPr>
                <w:rFonts w:hint="eastAsia" w:ascii="仿宋" w:hAnsi="仿宋" w:eastAsia="仿宋" w:cs="仿宋"/>
              </w:rPr>
              <w:t>59.9</w:t>
            </w:r>
          </w:p>
        </w:tc>
        <w:tc>
          <w:tcPr>
            <w:tcW w:w="2993" w:type="dxa"/>
            <w:vMerge w:val="continue"/>
            <w:tcBorders>
              <w:left w:val="single" w:color="F79646" w:sz="8" w:space="0"/>
              <w:right w:val="single" w:color="F79646" w:sz="8" w:space="0"/>
            </w:tcBorders>
            <w:noWrap w:val="0"/>
            <w:vAlign w:val="center"/>
          </w:tcPr>
          <w:p>
            <w:pPr>
              <w:jc w:val="center"/>
              <w:rPr>
                <w:rFonts w:ascii="仿宋" w:hAnsi="仿宋" w:eastAsia="仿宋" w:cs="仿宋"/>
              </w:rPr>
            </w:pPr>
          </w:p>
        </w:tc>
      </w:tr>
      <w:tr>
        <w:tblPrEx>
          <w:tblBorders>
            <w:top w:val="single" w:color="F79646" w:sz="8" w:space="0"/>
            <w:left w:val="single" w:color="F79646" w:sz="8" w:space="0"/>
            <w:bottom w:val="single" w:color="F79646" w:sz="8" w:space="0"/>
            <w:right w:val="single" w:color="F79646" w:sz="8"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left w:val="single" w:color="F79646" w:sz="8" w:space="0"/>
              <w:bottom w:val="single" w:color="F79646" w:sz="8" w:space="0"/>
              <w:right w:val="single" w:color="F79646" w:sz="8" w:space="0"/>
            </w:tcBorders>
            <w:shd w:val="clear" w:color="auto" w:fill="DBEEF3"/>
            <w:noWrap w:val="0"/>
            <w:vAlign w:val="center"/>
          </w:tcPr>
          <w:p>
            <w:pPr>
              <w:spacing w:line="400" w:lineRule="exact"/>
              <w:jc w:val="center"/>
              <w:rPr>
                <w:rFonts w:ascii="仿宋" w:hAnsi="仿宋" w:eastAsia="仿宋" w:cs="仿宋"/>
              </w:rPr>
            </w:pPr>
            <w:r>
              <w:rPr>
                <w:rFonts w:hint="eastAsia" w:ascii="仿宋" w:hAnsi="仿宋" w:eastAsia="仿宋" w:cs="仿宋"/>
              </w:rPr>
              <w:t>总学时</w:t>
            </w:r>
          </w:p>
        </w:tc>
        <w:tc>
          <w:tcPr>
            <w:tcW w:w="1973" w:type="dxa"/>
            <w:shd w:val="clear" w:color="auto" w:fill="DBEEF3"/>
            <w:noWrap w:val="0"/>
            <w:vAlign w:val="center"/>
          </w:tcPr>
          <w:p>
            <w:pPr>
              <w:spacing w:line="400" w:lineRule="exact"/>
              <w:jc w:val="center"/>
              <w:rPr>
                <w:rFonts w:ascii="仿宋" w:hAnsi="仿宋" w:eastAsia="仿宋" w:cs="仿宋"/>
              </w:rPr>
            </w:pPr>
            <w:r>
              <w:rPr>
                <w:rFonts w:hint="eastAsia" w:ascii="仿宋" w:hAnsi="仿宋" w:eastAsia="仿宋" w:cs="仿宋"/>
              </w:rPr>
              <w:t>合计</w:t>
            </w:r>
          </w:p>
        </w:tc>
        <w:tc>
          <w:tcPr>
            <w:tcW w:w="1345" w:type="dxa"/>
            <w:tcBorders>
              <w:left w:val="single" w:color="F79646" w:sz="8" w:space="0"/>
              <w:bottom w:val="single" w:color="F79646" w:sz="8" w:space="0"/>
              <w:right w:val="single" w:color="F79646" w:sz="8" w:space="0"/>
            </w:tcBorders>
            <w:shd w:val="clear" w:color="auto" w:fill="DBEEF3"/>
            <w:noWrap w:val="0"/>
            <w:vAlign w:val="center"/>
          </w:tcPr>
          <w:p>
            <w:pPr>
              <w:spacing w:line="400" w:lineRule="exact"/>
              <w:jc w:val="center"/>
              <w:rPr>
                <w:rFonts w:ascii="仿宋" w:hAnsi="仿宋" w:eastAsia="仿宋" w:cs="仿宋"/>
              </w:rPr>
            </w:pPr>
            <w:r>
              <w:rPr>
                <w:rFonts w:hint="eastAsia" w:ascii="仿宋" w:hAnsi="仿宋" w:eastAsia="仿宋" w:cs="仿宋"/>
              </w:rPr>
              <w:t>2496</w:t>
            </w:r>
          </w:p>
        </w:tc>
        <w:tc>
          <w:tcPr>
            <w:tcW w:w="1571" w:type="dxa"/>
            <w:shd w:val="clear" w:color="auto" w:fill="DBEEF3"/>
            <w:noWrap w:val="0"/>
            <w:vAlign w:val="center"/>
          </w:tcPr>
          <w:p>
            <w:pPr>
              <w:spacing w:line="400" w:lineRule="exact"/>
              <w:jc w:val="center"/>
              <w:rPr>
                <w:rFonts w:ascii="仿宋" w:hAnsi="仿宋" w:eastAsia="仿宋" w:cs="仿宋"/>
              </w:rPr>
            </w:pPr>
          </w:p>
        </w:tc>
        <w:tc>
          <w:tcPr>
            <w:tcW w:w="2993" w:type="dxa"/>
            <w:vMerge w:val="continue"/>
            <w:tcBorders>
              <w:left w:val="single" w:color="F79646" w:sz="8" w:space="0"/>
              <w:bottom w:val="single" w:color="F79646" w:sz="8" w:space="0"/>
              <w:right w:val="single" w:color="F79646" w:sz="8" w:space="0"/>
            </w:tcBorders>
            <w:noWrap w:val="0"/>
            <w:vAlign w:val="center"/>
          </w:tcPr>
          <w:p>
            <w:pPr>
              <w:jc w:val="center"/>
              <w:rPr>
                <w:rFonts w:ascii="仿宋" w:hAnsi="仿宋" w:eastAsia="仿宋" w:cs="仿宋"/>
              </w:rPr>
            </w:pPr>
          </w:p>
        </w:tc>
      </w:tr>
    </w:tbl>
    <w:p>
      <w:pPr>
        <w:ind w:firstLine="420" w:firstLineChars="150"/>
        <w:rPr>
          <w:rFonts w:hint="eastAsia" w:ascii="仿宋_GB2312" w:hAnsi="Times New Roman" w:eastAsia="仿宋_GB2312" w:cs="Times New Roman"/>
          <w:kern w:val="2"/>
          <w:sz w:val="28"/>
          <w:szCs w:val="28"/>
          <w:lang w:val="en-US" w:eastAsia="zh-CN" w:bidi="ar-SA"/>
        </w:rPr>
      </w:pPr>
    </w:p>
    <w:p>
      <w:pPr>
        <w:ind w:firstLine="422" w:firstLineChars="150"/>
        <w:jc w:val="center"/>
        <w:rPr>
          <w:rFonts w:hint="eastAsia" w:ascii="仿宋_GB2312" w:hAnsi="Times New Roman" w:eastAsia="仿宋_GB2312" w:cs="Times New Roman"/>
          <w:b/>
          <w:bCs/>
          <w:kern w:val="2"/>
          <w:sz w:val="28"/>
          <w:szCs w:val="28"/>
          <w:lang w:val="en-US" w:eastAsia="zh-CN" w:bidi="ar-SA"/>
        </w:rPr>
      </w:pPr>
      <w:r>
        <w:rPr>
          <w:rFonts w:hint="eastAsia" w:ascii="仿宋_GB2312" w:hAnsi="Times New Roman" w:eastAsia="仿宋_GB2312" w:cs="Times New Roman"/>
          <w:b/>
          <w:bCs/>
          <w:kern w:val="2"/>
          <w:sz w:val="28"/>
          <w:szCs w:val="28"/>
          <w:lang w:val="en-US" w:eastAsia="zh-CN" w:bidi="ar-SA"/>
        </w:rPr>
        <w:t>特色专业理实一体化课程一览表</w:t>
      </w:r>
    </w:p>
    <w:tbl>
      <w:tblPr>
        <w:tblStyle w:val="14"/>
        <w:tblW w:w="8559" w:type="dxa"/>
        <w:tblInd w:w="10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931"/>
        <w:gridCol w:w="662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6" w:hRule="atLeast"/>
        </w:trPr>
        <w:tc>
          <w:tcPr>
            <w:tcW w:w="1931" w:type="dxa"/>
            <w:tcBorders>
              <w:top w:val="single" w:color="F79646" w:sz="8" w:space="0"/>
              <w:left w:val="single" w:color="F79646" w:sz="8" w:space="0"/>
              <w:bottom w:val="single" w:color="F79646" w:sz="8" w:space="0"/>
              <w:right w:val="dotted" w:color="auto" w:sz="8" w:space="0"/>
              <w:tl2br w:val="nil"/>
              <w:tr2bl w:val="nil"/>
            </w:tcBorders>
            <w:shd w:val="pct5" w:color="000000" w:fill="F79646"/>
            <w:noWrap w:val="0"/>
            <w:vAlign w:val="center"/>
          </w:tcPr>
          <w:p>
            <w:pPr>
              <w:jc w:val="center"/>
              <w:rPr>
                <w:rFonts w:ascii="仿宋" w:hAnsi="仿宋" w:eastAsia="仿宋" w:cs="仿宋"/>
                <w:color w:val="FFFFFF"/>
              </w:rPr>
            </w:pPr>
            <w:r>
              <w:rPr>
                <w:rFonts w:hint="eastAsia" w:ascii="仿宋" w:hAnsi="仿宋" w:eastAsia="仿宋" w:cs="仿宋"/>
                <w:color w:val="FFFFFF"/>
              </w:rPr>
              <w:t>专业</w:t>
            </w:r>
          </w:p>
        </w:tc>
        <w:tc>
          <w:tcPr>
            <w:tcW w:w="6628" w:type="dxa"/>
            <w:tcBorders>
              <w:top w:val="single" w:color="F79646" w:sz="8" w:space="0"/>
              <w:left w:val="dotted" w:color="auto" w:sz="8" w:space="0"/>
              <w:bottom w:val="single" w:color="F79646" w:sz="8" w:space="0"/>
              <w:right w:val="single" w:color="F79646" w:sz="8" w:space="0"/>
              <w:tl2br w:val="nil"/>
              <w:tr2bl w:val="nil"/>
            </w:tcBorders>
            <w:shd w:val="pct5" w:color="000000" w:fill="F79646"/>
            <w:noWrap w:val="0"/>
            <w:vAlign w:val="center"/>
          </w:tcPr>
          <w:p>
            <w:pPr>
              <w:jc w:val="center"/>
              <w:rPr>
                <w:rFonts w:ascii="仿宋" w:hAnsi="仿宋" w:eastAsia="仿宋" w:cs="仿宋"/>
                <w:color w:val="FFFFFF"/>
              </w:rPr>
            </w:pPr>
            <w:r>
              <w:rPr>
                <w:rFonts w:hint="eastAsia" w:ascii="仿宋" w:hAnsi="仿宋" w:eastAsia="仿宋" w:cs="仿宋"/>
                <w:color w:val="FFFFFF"/>
              </w:rPr>
              <w:t>课程名称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8" w:hRule="atLeast"/>
        </w:trPr>
        <w:tc>
          <w:tcPr>
            <w:tcW w:w="1931" w:type="dxa"/>
            <w:tcBorders>
              <w:top w:val="single" w:color="F79646" w:sz="8" w:space="0"/>
              <w:left w:val="single" w:color="F79646" w:sz="8" w:space="0"/>
              <w:bottom w:val="single" w:color="F79646" w:sz="8" w:space="0"/>
              <w:right w:val="dotted" w:color="auto" w:sz="8" w:space="0"/>
              <w:tl2br w:val="nil"/>
              <w:tr2bl w:val="nil"/>
            </w:tcBorders>
            <w:shd w:val="clear" w:color="auto" w:fill="FFFFFF"/>
            <w:noWrap w:val="0"/>
            <w:vAlign w:val="center"/>
          </w:tcPr>
          <w:p>
            <w:pPr>
              <w:jc w:val="center"/>
              <w:rPr>
                <w:rFonts w:ascii="仿宋" w:hAnsi="仿宋" w:eastAsia="仿宋" w:cs="仿宋"/>
                <w:color w:val="000000"/>
              </w:rPr>
            </w:pPr>
            <w:r>
              <w:rPr>
                <w:rFonts w:hint="eastAsia" w:ascii="仿宋" w:hAnsi="仿宋" w:eastAsia="仿宋" w:cs="仿宋"/>
                <w:color w:val="000000"/>
              </w:rPr>
              <w:t>运动训练</w:t>
            </w:r>
          </w:p>
        </w:tc>
        <w:tc>
          <w:tcPr>
            <w:tcW w:w="6628" w:type="dxa"/>
            <w:tcBorders>
              <w:top w:val="single" w:color="F79646" w:sz="8" w:space="0"/>
              <w:left w:val="dotted" w:color="auto" w:sz="8" w:space="0"/>
              <w:bottom w:val="single" w:color="F79646" w:sz="8" w:space="0"/>
              <w:right w:val="single" w:color="F79646" w:sz="8" w:space="0"/>
              <w:tl2br w:val="nil"/>
              <w:tr2bl w:val="nil"/>
            </w:tcBorders>
            <w:shd w:val="clear" w:color="auto" w:fill="FFFFFF"/>
            <w:noWrap w:val="0"/>
            <w:vAlign w:val="center"/>
          </w:tcPr>
          <w:p>
            <w:pPr>
              <w:jc w:val="center"/>
              <w:rPr>
                <w:rFonts w:ascii="仿宋" w:hAnsi="仿宋" w:eastAsia="仿宋" w:cs="仿宋"/>
                <w:color w:val="000000"/>
              </w:rPr>
            </w:pPr>
            <w:r>
              <w:rPr>
                <w:rFonts w:hint="eastAsia" w:ascii="仿宋" w:hAnsi="仿宋" w:eastAsia="仿宋" w:cs="仿宋"/>
                <w:color w:val="000000"/>
              </w:rPr>
              <w:t>蹦床、摔跤、柔道、跆拳道、篮球</w:t>
            </w:r>
          </w:p>
        </w:tc>
      </w:tr>
    </w:tbl>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2"/>
        <w:rPr>
          <w:rFonts w:hint="eastAsia" w:ascii="仿宋_GB2312" w:hAnsi="Times New Roman" w:eastAsia="仿宋_GB2312" w:cs="Times New Roman"/>
          <w:b/>
          <w:bCs/>
          <w:kern w:val="2"/>
          <w:sz w:val="28"/>
          <w:szCs w:val="28"/>
          <w:lang w:val="en-US" w:eastAsia="zh-CN" w:bidi="ar-SA"/>
        </w:rPr>
      </w:pPr>
      <w:bookmarkStart w:id="64" w:name="_Toc21316"/>
      <w:bookmarkStart w:id="65" w:name="_Toc5029"/>
      <w:r>
        <w:rPr>
          <w:rFonts w:hint="eastAsia" w:ascii="仿宋_GB2312" w:hAnsi="Times New Roman" w:eastAsia="仿宋_GB2312" w:cs="Times New Roman"/>
          <w:b/>
          <w:bCs/>
          <w:kern w:val="2"/>
          <w:sz w:val="28"/>
          <w:szCs w:val="28"/>
          <w:lang w:val="en-US" w:eastAsia="zh-CN" w:bidi="ar-SA"/>
        </w:rPr>
        <w:t>3.1.2 公共基础课开设情况</w:t>
      </w:r>
      <w:bookmarkEnd w:id="64"/>
      <w:bookmarkEnd w:id="65"/>
      <w:r>
        <w:rPr>
          <w:rFonts w:hint="eastAsia" w:ascii="仿宋_GB2312" w:hAnsi="Times New Roman" w:eastAsia="仿宋_GB2312" w:cs="Times New Roman"/>
          <w:b/>
          <w:bCs/>
          <w:kern w:val="2"/>
          <w:sz w:val="28"/>
          <w:szCs w:val="28"/>
          <w:lang w:val="en-US" w:eastAsia="zh-CN" w:bidi="ar-SA"/>
        </w:rPr>
        <w:t xml:space="preserve">  </w:t>
      </w:r>
    </w:p>
    <w:p>
      <w:pPr>
        <w:ind w:firstLine="560" w:firstLineChars="200"/>
        <w:rPr>
          <w:rFonts w:hint="eastAsia"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kern w:val="2"/>
          <w:sz w:val="28"/>
          <w:szCs w:val="28"/>
          <w:lang w:val="en-US" w:eastAsia="zh-CN" w:bidi="ar-SA"/>
        </w:rPr>
        <w:t>按照山西省体育局科教处编写的教学大纲及国家教育部公共基础课程设置标准要求，目前开设有语文、数学、物理、化学、英语、政治、美术、公共艺术、计算机应用基础9门课程。</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2"/>
        <w:rPr>
          <w:rFonts w:hint="eastAsia" w:ascii="仿宋_GB2312" w:hAnsi="Times New Roman" w:eastAsia="仿宋_GB2312" w:cs="Times New Roman"/>
          <w:b/>
          <w:bCs/>
          <w:kern w:val="2"/>
          <w:sz w:val="28"/>
          <w:szCs w:val="28"/>
          <w:lang w:val="en-US" w:eastAsia="zh-CN" w:bidi="ar-SA"/>
        </w:rPr>
      </w:pPr>
      <w:bookmarkStart w:id="66" w:name="_Toc10749"/>
      <w:bookmarkStart w:id="67" w:name="_Toc13733"/>
      <w:r>
        <w:rPr>
          <w:rFonts w:hint="eastAsia" w:ascii="仿宋_GB2312" w:hAnsi="Times New Roman" w:eastAsia="仿宋_GB2312" w:cs="Times New Roman"/>
          <w:b/>
          <w:bCs/>
          <w:kern w:val="2"/>
          <w:sz w:val="28"/>
          <w:szCs w:val="28"/>
          <w:lang w:val="en-US" w:eastAsia="zh-CN" w:bidi="ar-SA"/>
        </w:rPr>
        <w:t>3.1.3 人才培养模式改革</w:t>
      </w:r>
      <w:bookmarkEnd w:id="66"/>
      <w:bookmarkEnd w:id="67"/>
      <w:r>
        <w:rPr>
          <w:rFonts w:hint="eastAsia" w:ascii="仿宋_GB2312" w:hAnsi="Times New Roman" w:eastAsia="仿宋_GB2312" w:cs="Times New Roman"/>
          <w:b/>
          <w:bCs/>
          <w:kern w:val="2"/>
          <w:sz w:val="28"/>
          <w:szCs w:val="28"/>
          <w:lang w:val="en-US" w:eastAsia="zh-CN" w:bidi="ar-SA"/>
        </w:rPr>
        <w:t xml:space="preserve">  </w:t>
      </w:r>
    </w:p>
    <w:p>
      <w:pPr>
        <w:ind w:firstLine="560" w:firstLineChars="200"/>
        <w:rPr>
          <w:rFonts w:hint="eastAsia"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kern w:val="2"/>
          <w:sz w:val="28"/>
          <w:szCs w:val="28"/>
          <w:lang w:val="en-US" w:eastAsia="zh-CN" w:bidi="ar-SA"/>
        </w:rPr>
        <w:t>人才培养模式是学校保证教学质量和人才培养规格的重要前提，2021年学校人才培养模式的改革重点从三个方面着手，一是为上级专业队输送高水平体育人才；二是培养优秀运动员报考各大专院校继续深造；三是从事专项训练和体育俱乐部健身指导的教练员。</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2"/>
        <w:rPr>
          <w:rFonts w:hint="eastAsia" w:ascii="仿宋_GB2312" w:hAnsi="Times New Roman" w:eastAsia="仿宋_GB2312" w:cs="Times New Roman"/>
          <w:b/>
          <w:bCs/>
          <w:kern w:val="2"/>
          <w:sz w:val="28"/>
          <w:szCs w:val="28"/>
          <w:lang w:val="en-US" w:eastAsia="zh-CN" w:bidi="ar-SA"/>
        </w:rPr>
      </w:pPr>
      <w:bookmarkStart w:id="68" w:name="_Toc29540"/>
      <w:bookmarkStart w:id="69" w:name="_Toc638"/>
      <w:r>
        <w:rPr>
          <w:rFonts w:hint="eastAsia" w:ascii="仿宋_GB2312" w:hAnsi="Times New Roman" w:eastAsia="仿宋_GB2312" w:cs="Times New Roman"/>
          <w:b/>
          <w:bCs/>
          <w:kern w:val="2"/>
          <w:sz w:val="28"/>
          <w:szCs w:val="28"/>
          <w:lang w:val="en-US" w:eastAsia="zh-CN" w:bidi="ar-SA"/>
        </w:rPr>
        <w:t>3.1.4 学校特色改革措施</w:t>
      </w:r>
      <w:bookmarkEnd w:id="68"/>
      <w:r>
        <w:rPr>
          <w:rFonts w:hint="eastAsia" w:ascii="仿宋_GB2312" w:hAnsi="Times New Roman" w:eastAsia="仿宋_GB2312" w:cs="Times New Roman"/>
          <w:b/>
          <w:bCs/>
          <w:kern w:val="2"/>
          <w:sz w:val="28"/>
          <w:szCs w:val="28"/>
          <w:lang w:val="en-US" w:eastAsia="zh-CN" w:bidi="ar-SA"/>
        </w:rPr>
        <w:t xml:space="preserve"> </w:t>
      </w:r>
      <w:bookmarkEnd w:id="69"/>
      <w:r>
        <w:rPr>
          <w:rFonts w:hint="eastAsia" w:ascii="仿宋_GB2312" w:hAnsi="Times New Roman" w:eastAsia="仿宋_GB2312" w:cs="Times New Roman"/>
          <w:b/>
          <w:bCs/>
          <w:kern w:val="2"/>
          <w:sz w:val="28"/>
          <w:szCs w:val="28"/>
          <w:lang w:val="en-US" w:eastAsia="zh-CN" w:bidi="ar-SA"/>
        </w:rPr>
        <w:t xml:space="preserve">   </w:t>
      </w:r>
    </w:p>
    <w:p>
      <w:pPr>
        <w:ind w:firstLine="560" w:firstLineChars="200"/>
        <w:rPr>
          <w:rFonts w:hint="default"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kern w:val="2"/>
          <w:sz w:val="28"/>
          <w:szCs w:val="28"/>
          <w:lang w:val="en-US" w:eastAsia="zh-CN" w:bidi="ar-SA"/>
        </w:rPr>
        <w:t>充分发挥体育特长生通过体育单招上大学的优势，学校加强体育单招教学，实行4+X教学，进一步拓宽学生的升学就业渠道，提高我校办学效益和声誉。2021年毕业生通过体育单招，升入本科院校28人，升入高职高专院校20人。</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2"/>
        <w:rPr>
          <w:rFonts w:hint="eastAsia" w:ascii="仿宋_GB2312" w:hAnsi="Times New Roman" w:eastAsia="仿宋_GB2312" w:cs="Times New Roman"/>
          <w:b/>
          <w:bCs/>
          <w:kern w:val="2"/>
          <w:sz w:val="28"/>
          <w:szCs w:val="28"/>
          <w:lang w:val="en-US" w:eastAsia="zh-CN" w:bidi="ar-SA"/>
        </w:rPr>
      </w:pPr>
      <w:bookmarkStart w:id="70" w:name="_Toc4040"/>
      <w:bookmarkStart w:id="71" w:name="_Toc26416"/>
      <w:r>
        <w:rPr>
          <w:rFonts w:hint="eastAsia" w:ascii="仿宋_GB2312" w:hAnsi="Times New Roman" w:eastAsia="仿宋_GB2312" w:cs="Times New Roman"/>
          <w:b/>
          <w:bCs/>
          <w:kern w:val="2"/>
          <w:sz w:val="28"/>
          <w:szCs w:val="28"/>
          <w:lang w:val="en-US" w:eastAsia="zh-CN" w:bidi="ar-SA"/>
        </w:rPr>
        <w:t>3.1.5 中国特色现代学徒制实施</w:t>
      </w:r>
      <w:bookmarkEnd w:id="70"/>
      <w:bookmarkEnd w:id="71"/>
    </w:p>
    <w:p>
      <w:pPr>
        <w:ind w:firstLine="560"/>
        <w:rPr>
          <w:rFonts w:ascii="仿宋" w:hAnsi="仿宋" w:eastAsia="仿宋" w:cs="仿宋"/>
          <w:color w:val="0070C0"/>
          <w:sz w:val="28"/>
          <w:szCs w:val="28"/>
        </w:rPr>
      </w:pPr>
      <w:r>
        <w:rPr>
          <w:rFonts w:hint="eastAsia" w:ascii="仿宋_GB2312" w:hAnsi="Times New Roman" w:eastAsia="仿宋_GB2312" w:cs="Times New Roman"/>
          <w:kern w:val="2"/>
          <w:sz w:val="28"/>
          <w:szCs w:val="28"/>
          <w:lang w:val="en-US" w:eastAsia="zh-CN" w:bidi="ar-SA"/>
        </w:rPr>
        <w:t>根据体育人才岗位的任职要求，参照相关职业资格标准，与企业合作改革课程体系和教学内容。实现课程与训练任务对接，重组项目课程体系。建设6门校级足球专项精品课程，建设优质课程资源，建设精品网络课程，开发活页式教材、融媒体教材，创新教学模式，建立现代学徒制，以“师带徒”的形式开展训练，改革课程教学方法与手段，突出应用能力进行考核，建立课程与教学资源的学习平台，进一步解决运动员学习训练的矛盾。</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2"/>
        <w:rPr>
          <w:rFonts w:hint="eastAsia" w:ascii="仿宋_GB2312" w:hAnsi="Times New Roman" w:eastAsia="仿宋_GB2312" w:cs="Times New Roman"/>
          <w:b/>
          <w:bCs/>
          <w:kern w:val="2"/>
          <w:sz w:val="28"/>
          <w:szCs w:val="28"/>
          <w:lang w:val="en-US" w:eastAsia="zh-CN" w:bidi="ar-SA"/>
        </w:rPr>
      </w:pPr>
      <w:bookmarkStart w:id="72" w:name="_Toc10035"/>
      <w:bookmarkStart w:id="73" w:name="_Toc12713"/>
      <w:r>
        <w:rPr>
          <w:rFonts w:hint="eastAsia" w:ascii="仿宋_GB2312" w:hAnsi="Times New Roman" w:eastAsia="仿宋_GB2312" w:cs="Times New Roman"/>
          <w:b/>
          <w:bCs/>
          <w:kern w:val="2"/>
          <w:sz w:val="28"/>
          <w:szCs w:val="28"/>
          <w:lang w:val="en-US" w:eastAsia="zh-CN" w:bidi="ar-SA"/>
        </w:rPr>
        <w:t>3.1.6“1+X”证书制度试点探索与实践</w:t>
      </w:r>
      <w:bookmarkEnd w:id="72"/>
      <w:bookmarkEnd w:id="73"/>
    </w:p>
    <w:p>
      <w:pPr>
        <w:ind w:firstLine="560" w:firstLineChars="200"/>
        <w:rPr>
          <w:rFonts w:hint="eastAsia"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kern w:val="2"/>
          <w:sz w:val="28"/>
          <w:szCs w:val="28"/>
          <w:lang w:val="en-US" w:eastAsia="zh-CN" w:bidi="ar-SA"/>
        </w:rPr>
        <w:t>我校按照（晋教职成</w:t>
      </w:r>
      <w:r>
        <w:rPr>
          <w:rFonts w:hint="eastAsia" w:ascii="仿宋_GB2312" w:hAnsi="Times New Roman" w:eastAsia="仿宋_GB2312" w:cs="Times New Roman"/>
          <w:b w:val="0"/>
          <w:bCs w:val="0"/>
          <w:kern w:val="2"/>
          <w:sz w:val="28"/>
          <w:szCs w:val="28"/>
          <w:lang w:val="en-US" w:eastAsia="zh-CN" w:bidi="ar-SA"/>
        </w:rPr>
        <w:t>〔2021〕</w:t>
      </w:r>
      <w:r>
        <w:rPr>
          <w:rFonts w:hint="eastAsia" w:ascii="仿宋_GB2312" w:hAnsi="Times New Roman" w:eastAsia="仿宋_GB2312" w:cs="Times New Roman"/>
          <w:kern w:val="2"/>
          <w:sz w:val="28"/>
          <w:szCs w:val="28"/>
          <w:lang w:val="en-US" w:eastAsia="zh-CN" w:bidi="ar-SA"/>
        </w:rPr>
        <w:t>8号）和（晋教职成函</w:t>
      </w:r>
      <w:r>
        <w:rPr>
          <w:rFonts w:hint="eastAsia" w:ascii="仿宋_GB2312" w:hAnsi="Times New Roman" w:eastAsia="仿宋_GB2312" w:cs="Times New Roman"/>
          <w:b w:val="0"/>
          <w:bCs w:val="0"/>
          <w:kern w:val="2"/>
          <w:sz w:val="28"/>
          <w:szCs w:val="28"/>
          <w:lang w:val="en-US" w:eastAsia="zh-CN" w:bidi="ar-SA"/>
        </w:rPr>
        <w:t>〔2021〕</w:t>
      </w:r>
      <w:r>
        <w:rPr>
          <w:rFonts w:hint="eastAsia" w:ascii="仿宋_GB2312" w:hAnsi="Times New Roman" w:eastAsia="仿宋_GB2312" w:cs="Times New Roman"/>
          <w:kern w:val="2"/>
          <w:sz w:val="28"/>
          <w:szCs w:val="28"/>
          <w:lang w:val="en-US" w:eastAsia="zh-CN" w:bidi="ar-SA"/>
        </w:rPr>
        <w:t>4号）要求，确定了由校长负责，分管副校长牵头，学生科组织实施的工作小组，全面落实全省教育系统毕业生取证任务的工作。</w:t>
      </w:r>
      <w:r>
        <w:rPr>
          <w:rFonts w:hint="eastAsia" w:ascii="仿宋_GB2312" w:hAnsi="Times New Roman" w:eastAsia="仿宋_GB2312" w:cs="Times New Roman"/>
          <w:b w:val="0"/>
          <w:bCs w:val="0"/>
          <w:kern w:val="2"/>
          <w:sz w:val="28"/>
          <w:szCs w:val="28"/>
          <w:lang w:val="en-US" w:eastAsia="zh-CN" w:bidi="ar-SA"/>
        </w:rPr>
        <w:t>毕业生证书获取率100%，全体</w:t>
      </w:r>
      <w:r>
        <w:rPr>
          <w:rFonts w:hint="eastAsia" w:ascii="仿宋_GB2312" w:hAnsi="Times New Roman" w:eastAsia="仿宋_GB2312" w:cs="Times New Roman"/>
          <w:kern w:val="2"/>
          <w:sz w:val="28"/>
          <w:szCs w:val="28"/>
          <w:lang w:val="en-US" w:eastAsia="zh-CN" w:bidi="ar-SA"/>
        </w:rPr>
        <w:t>157名毕业生获得</w:t>
      </w:r>
      <w:r>
        <w:rPr>
          <w:rFonts w:hint="eastAsia" w:ascii="仿宋_GB2312" w:hAnsi="Times New Roman" w:eastAsia="仿宋_GB2312" w:cs="Times New Roman"/>
          <w:b w:val="0"/>
          <w:bCs w:val="0"/>
          <w:kern w:val="2"/>
          <w:sz w:val="28"/>
          <w:szCs w:val="28"/>
          <w:lang w:val="en-US" w:eastAsia="zh-CN" w:bidi="ar-SA"/>
        </w:rPr>
        <w:t>裁判员二级证书，其中99人取得计算机程序员证书，43人取得一级运动员证书，105人取得二级运动员证书。</w:t>
      </w:r>
    </w:p>
    <w:p>
      <w:pPr>
        <w:ind w:firstLine="560" w:firstLineChars="200"/>
        <w:rPr>
          <w:rFonts w:hint="eastAsia"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kern w:val="2"/>
          <w:sz w:val="28"/>
          <w:szCs w:val="28"/>
          <w:lang w:val="en-US" w:eastAsia="zh-CN" w:bidi="ar-SA"/>
        </w:rPr>
        <w:t>学生科积极进取，努力创新，取得了一定进步，但在进步的同时，我们也清醒地认识到，我们的成绩离学校、社会的要求还有较大的差距，为此，我们将继续团结协作，为全面建设安全稳定文明和谐的校园环境而不懈努力。</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1"/>
        <w:rPr>
          <w:rFonts w:hint="eastAsia" w:ascii="仿宋_GB2312" w:hAnsi="Times New Roman" w:eastAsia="仿宋_GB2312" w:cs="Times New Roman"/>
          <w:b/>
          <w:bCs/>
          <w:kern w:val="2"/>
          <w:sz w:val="28"/>
          <w:szCs w:val="28"/>
          <w:lang w:val="en-US" w:eastAsia="zh-CN" w:bidi="ar-SA"/>
        </w:rPr>
      </w:pPr>
      <w:bookmarkStart w:id="74" w:name="_Toc6616"/>
      <w:bookmarkStart w:id="75" w:name="_Toc22537"/>
      <w:r>
        <w:rPr>
          <w:rFonts w:hint="eastAsia" w:ascii="仿宋_GB2312" w:hAnsi="Times New Roman" w:eastAsia="仿宋_GB2312" w:cs="Times New Roman"/>
          <w:b/>
          <w:bCs/>
          <w:kern w:val="2"/>
          <w:sz w:val="28"/>
          <w:szCs w:val="28"/>
          <w:lang w:val="en-US" w:eastAsia="zh-CN" w:bidi="ar-SA"/>
        </w:rPr>
        <w:t>3.2教材建设</w:t>
      </w:r>
      <w:bookmarkEnd w:id="74"/>
      <w:bookmarkEnd w:id="75"/>
    </w:p>
    <w:p>
      <w:pPr>
        <w:ind w:firstLine="560" w:firstLineChars="200"/>
        <w:rPr>
          <w:rFonts w:ascii="仿宋" w:hAnsi="仿宋" w:eastAsia="仿宋" w:cs="仿宋"/>
          <w:sz w:val="28"/>
          <w:szCs w:val="28"/>
        </w:rPr>
      </w:pPr>
      <w:r>
        <w:rPr>
          <w:rFonts w:hint="eastAsia" w:ascii="仿宋_GB2312" w:hAnsi="Times New Roman" w:eastAsia="仿宋_GB2312" w:cs="Times New Roman"/>
          <w:kern w:val="2"/>
          <w:sz w:val="28"/>
          <w:szCs w:val="28"/>
          <w:lang w:val="en-US" w:eastAsia="zh-CN" w:bidi="ar-SA"/>
        </w:rPr>
        <w:t>学校公共基础课按照《教育部办公厅关于印发2019年中小学教学用书目录的通知》（教材厅函</w:t>
      </w:r>
      <w:r>
        <w:rPr>
          <w:rFonts w:hint="eastAsia" w:ascii="仿宋_GB2312" w:hAnsi="Times New Roman" w:eastAsia="仿宋_GB2312" w:cs="Times New Roman"/>
          <w:b w:val="0"/>
          <w:bCs w:val="0"/>
          <w:kern w:val="2"/>
          <w:sz w:val="28"/>
          <w:szCs w:val="28"/>
          <w:lang w:val="en-US" w:eastAsia="zh-CN" w:bidi="ar-SA"/>
        </w:rPr>
        <w:t>〔2019〕</w:t>
      </w:r>
      <w:r>
        <w:rPr>
          <w:rFonts w:hint="eastAsia" w:ascii="仿宋_GB2312" w:hAnsi="Times New Roman" w:eastAsia="仿宋_GB2312" w:cs="Times New Roman"/>
          <w:kern w:val="2"/>
          <w:sz w:val="28"/>
          <w:szCs w:val="28"/>
          <w:lang w:val="en-US" w:eastAsia="zh-CN" w:bidi="ar-SA"/>
        </w:rPr>
        <w:t>3号）使用国家定编教材。其他学科使用《体育运动学校国家课程教材用书目录》中的教材。</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1"/>
        <w:rPr>
          <w:rFonts w:hint="eastAsia" w:ascii="仿宋_GB2312" w:hAnsi="Times New Roman" w:eastAsia="仿宋_GB2312" w:cs="Times New Roman"/>
          <w:b/>
          <w:bCs/>
          <w:kern w:val="2"/>
          <w:sz w:val="28"/>
          <w:szCs w:val="28"/>
          <w:lang w:val="en-US" w:eastAsia="zh-CN" w:bidi="ar-SA"/>
        </w:rPr>
      </w:pPr>
      <w:bookmarkStart w:id="76" w:name="_Toc372"/>
      <w:bookmarkStart w:id="77" w:name="_Toc7915"/>
      <w:r>
        <w:rPr>
          <w:rFonts w:hint="eastAsia" w:ascii="仿宋_GB2312" w:hAnsi="Times New Roman" w:eastAsia="仿宋_GB2312" w:cs="Times New Roman"/>
          <w:b/>
          <w:bCs/>
          <w:kern w:val="2"/>
          <w:sz w:val="28"/>
          <w:szCs w:val="28"/>
          <w:lang w:val="en-US" w:eastAsia="zh-CN" w:bidi="ar-SA"/>
        </w:rPr>
        <w:t>3.3高素质“双师型”师资队伍建设</w:t>
      </w:r>
      <w:bookmarkEnd w:id="76"/>
      <w:bookmarkEnd w:id="77"/>
    </w:p>
    <w:p>
      <w:pPr>
        <w:ind w:firstLine="560" w:firstLineChars="200"/>
        <w:rPr>
          <w:rFonts w:hint="eastAsia" w:ascii="仿宋_GB2312" w:hAnsi="Times New Roman" w:eastAsia="仿宋_GB2312" w:cs="Times New Roman"/>
          <w:kern w:val="2"/>
          <w:sz w:val="28"/>
          <w:szCs w:val="28"/>
          <w:lang w:val="en-US" w:eastAsia="uk-UA" w:bidi="ar-SA"/>
        </w:rPr>
      </w:pPr>
      <w:bookmarkStart w:id="78" w:name="_Toc_1_3_0000000015"/>
      <w:r>
        <w:rPr>
          <w:rFonts w:hint="eastAsia" w:ascii="仿宋_GB2312" w:hAnsi="Times New Roman" w:eastAsia="仿宋_GB2312" w:cs="Times New Roman"/>
          <w:kern w:val="2"/>
          <w:sz w:val="28"/>
          <w:szCs w:val="28"/>
          <w:lang w:val="en-US" w:eastAsia="uk-UA" w:bidi="ar-SA"/>
        </w:rPr>
        <w:t>制定专业课教师企业实践锻炼管理制度，在教学安排上给予一定照顾，鼓励他们到</w:t>
      </w:r>
      <w:r>
        <w:rPr>
          <w:rFonts w:hint="eastAsia" w:ascii="仿宋_GB2312" w:hAnsi="Times New Roman" w:eastAsia="仿宋_GB2312" w:cs="Times New Roman"/>
          <w:kern w:val="2"/>
          <w:sz w:val="28"/>
          <w:szCs w:val="28"/>
          <w:lang w:val="en-US" w:eastAsia="zh-CN" w:bidi="ar-SA"/>
        </w:rPr>
        <w:t>基层、基地、各俱乐部</w:t>
      </w:r>
      <w:r>
        <w:rPr>
          <w:rFonts w:hint="eastAsia" w:ascii="仿宋_GB2312" w:hAnsi="Times New Roman" w:eastAsia="仿宋_GB2312" w:cs="Times New Roman"/>
          <w:kern w:val="2"/>
          <w:sz w:val="28"/>
          <w:szCs w:val="28"/>
          <w:lang w:val="en-US" w:eastAsia="uk-UA" w:bidi="ar-SA"/>
        </w:rPr>
        <w:t>参加实践锻炼，鼓励专业课教师考取执业资格证书，现有</w:t>
      </w:r>
      <w:r>
        <w:rPr>
          <w:rFonts w:hint="eastAsia" w:ascii="仿宋_GB2312" w:hAnsi="Times New Roman" w:eastAsia="仿宋_GB2312" w:cs="Times New Roman"/>
          <w:kern w:val="2"/>
          <w:sz w:val="28"/>
          <w:szCs w:val="28"/>
          <w:lang w:val="en-US" w:eastAsia="zh-CN" w:bidi="ar-SA"/>
        </w:rPr>
        <w:t>37</w:t>
      </w:r>
      <w:r>
        <w:rPr>
          <w:rFonts w:hint="eastAsia" w:ascii="仿宋_GB2312" w:hAnsi="Times New Roman" w:eastAsia="仿宋_GB2312" w:cs="Times New Roman"/>
          <w:kern w:val="2"/>
          <w:sz w:val="28"/>
          <w:szCs w:val="28"/>
          <w:lang w:val="en-US" w:eastAsia="uk-UA" w:bidi="ar-SA"/>
        </w:rPr>
        <w:t>名专业课教师中，</w:t>
      </w:r>
      <w:r>
        <w:rPr>
          <w:rFonts w:hint="eastAsia" w:ascii="仿宋_GB2312" w:hAnsi="Times New Roman" w:eastAsia="仿宋_GB2312" w:cs="Times New Roman"/>
          <w:kern w:val="2"/>
          <w:sz w:val="28"/>
          <w:szCs w:val="28"/>
          <w:lang w:val="en-US" w:eastAsia="zh-CN" w:bidi="ar-SA"/>
        </w:rPr>
        <w:t>全部为</w:t>
      </w:r>
      <w:r>
        <w:rPr>
          <w:rFonts w:hint="eastAsia" w:ascii="仿宋_GB2312" w:hAnsi="Times New Roman" w:eastAsia="仿宋_GB2312" w:cs="Times New Roman"/>
          <w:kern w:val="2"/>
          <w:sz w:val="28"/>
          <w:szCs w:val="28"/>
          <w:lang w:val="en-US" w:eastAsia="uk-UA" w:bidi="ar-SA"/>
        </w:rPr>
        <w:t>双师型教师</w:t>
      </w:r>
      <w:r>
        <w:rPr>
          <w:rFonts w:hint="eastAsia" w:ascii="仿宋_GB2312" w:hAnsi="Times New Roman" w:eastAsia="仿宋_GB2312" w:cs="Times New Roman"/>
          <w:kern w:val="2"/>
          <w:sz w:val="28"/>
          <w:szCs w:val="28"/>
          <w:lang w:val="en-US" w:eastAsia="zh-CN" w:bidi="ar-SA"/>
        </w:rPr>
        <w:t>，</w:t>
      </w:r>
      <w:r>
        <w:rPr>
          <w:rFonts w:hint="eastAsia" w:ascii="仿宋_GB2312" w:hAnsi="Times New Roman" w:eastAsia="仿宋_GB2312" w:cs="Times New Roman"/>
          <w:kern w:val="2"/>
          <w:sz w:val="28"/>
          <w:szCs w:val="28"/>
          <w:lang w:val="en-US" w:eastAsia="uk-UA" w:bidi="ar-SA"/>
        </w:rPr>
        <w:t>提升了教学的实效性。</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2"/>
        <w:rPr>
          <w:rFonts w:hint="eastAsia" w:ascii="仿宋_GB2312" w:hAnsi="Times New Roman" w:eastAsia="仿宋_GB2312" w:cs="Times New Roman"/>
          <w:b/>
          <w:bCs/>
          <w:kern w:val="2"/>
          <w:sz w:val="28"/>
          <w:szCs w:val="28"/>
          <w:lang w:val="en-US" w:eastAsia="zh-CN" w:bidi="ar-SA"/>
        </w:rPr>
      </w:pPr>
      <w:bookmarkStart w:id="79" w:name="_Toc11743"/>
      <w:bookmarkStart w:id="80" w:name="_Toc22911"/>
      <w:r>
        <w:rPr>
          <w:rFonts w:hint="eastAsia" w:ascii="仿宋_GB2312" w:hAnsi="Times New Roman" w:eastAsia="仿宋_GB2312" w:cs="Times New Roman"/>
          <w:b/>
          <w:bCs/>
          <w:kern w:val="2"/>
          <w:sz w:val="28"/>
          <w:szCs w:val="28"/>
          <w:lang w:val="en-US" w:eastAsia="uk-UA" w:bidi="ar-SA"/>
        </w:rPr>
        <w:t>3.3</w:t>
      </w:r>
      <w:r>
        <w:rPr>
          <w:rFonts w:hint="eastAsia" w:ascii="仿宋_GB2312" w:hAnsi="Times New Roman" w:eastAsia="仿宋_GB2312" w:cs="Times New Roman"/>
          <w:b/>
          <w:bCs/>
          <w:kern w:val="2"/>
          <w:sz w:val="28"/>
          <w:szCs w:val="28"/>
          <w:lang w:val="en-US" w:eastAsia="zh-CN" w:bidi="ar-SA"/>
        </w:rPr>
        <w:t>.1培训</w:t>
      </w:r>
      <w:bookmarkEnd w:id="79"/>
      <w:bookmarkEnd w:id="80"/>
    </w:p>
    <w:bookmarkEnd w:id="78"/>
    <w:p>
      <w:pPr>
        <w:ind w:firstLine="560" w:firstLineChars="200"/>
        <w:rPr>
          <w:rFonts w:hint="eastAsia" w:ascii="仿宋_GB2312" w:hAnsi="Times New Roman" w:eastAsia="仿宋_GB2312" w:cs="Times New Roman"/>
          <w:kern w:val="2"/>
          <w:sz w:val="28"/>
          <w:szCs w:val="28"/>
          <w:lang w:val="en-US" w:eastAsia="uk-UA" w:bidi="ar-SA"/>
        </w:rPr>
      </w:pPr>
      <w:bookmarkStart w:id="81" w:name="_Toc87860863"/>
      <w:bookmarkStart w:id="82" w:name="_Toc87860332"/>
      <w:r>
        <w:rPr>
          <w:rFonts w:hint="eastAsia" w:ascii="仿宋_GB2312" w:hAnsi="Times New Roman" w:eastAsia="仿宋_GB2312" w:cs="Times New Roman"/>
          <w:kern w:val="2"/>
          <w:sz w:val="28"/>
          <w:szCs w:val="28"/>
          <w:lang w:val="en-US" w:eastAsia="uk-UA" w:bidi="ar-SA"/>
        </w:rPr>
        <w:t>学校高度重视教师、教练的培养培训工作，采取校内校外相结合，定期与不定期相结合的原则认真</w:t>
      </w:r>
      <w:r>
        <w:rPr>
          <w:rFonts w:hint="eastAsia" w:ascii="仿宋_GB2312" w:hAnsi="Times New Roman" w:eastAsia="仿宋_GB2312" w:cs="Times New Roman"/>
          <w:kern w:val="2"/>
          <w:sz w:val="28"/>
          <w:szCs w:val="28"/>
          <w:lang w:val="en-US" w:eastAsia="zh-CN" w:bidi="ar-SA"/>
        </w:rPr>
        <w:t>对待</w:t>
      </w:r>
      <w:r>
        <w:rPr>
          <w:rFonts w:hint="eastAsia" w:ascii="仿宋_GB2312" w:hAnsi="Times New Roman" w:eastAsia="仿宋_GB2312" w:cs="Times New Roman"/>
          <w:kern w:val="2"/>
          <w:sz w:val="28"/>
          <w:szCs w:val="28"/>
          <w:lang w:val="en-US" w:eastAsia="uk-UA" w:bidi="ar-SA"/>
        </w:rPr>
        <w:t>教师培养培训工作。通过专业岗位、专业技术，以及参加体育赛事实践培训，造就了一批理论基础扎实、专业技术过硬的教师、教练团队。</w:t>
      </w:r>
    </w:p>
    <w:p>
      <w:pPr>
        <w:ind w:firstLine="560" w:firstLineChars="200"/>
        <w:rPr>
          <w:rFonts w:hint="eastAsia" w:ascii="仿宋_GB2312" w:hAnsi="Times New Roman" w:eastAsia="仿宋_GB2312" w:cs="Times New Roman"/>
          <w:kern w:val="2"/>
          <w:sz w:val="28"/>
          <w:szCs w:val="28"/>
          <w:lang w:val="en-US" w:eastAsia="uk-UA" w:bidi="ar-SA"/>
        </w:rPr>
      </w:pPr>
      <w:r>
        <w:rPr>
          <w:rFonts w:hint="eastAsia" w:ascii="仿宋_GB2312" w:hAnsi="Times New Roman" w:eastAsia="仿宋_GB2312" w:cs="Times New Roman"/>
          <w:kern w:val="2"/>
          <w:sz w:val="28"/>
          <w:szCs w:val="28"/>
          <w:lang w:val="en-US" w:eastAsia="uk-UA" w:bidi="ar-SA"/>
        </w:rPr>
        <w:t>1、校内培养培训</w:t>
      </w:r>
      <w:bookmarkEnd w:id="81"/>
      <w:bookmarkEnd w:id="82"/>
      <w:r>
        <w:rPr>
          <w:rFonts w:hint="eastAsia" w:ascii="仿宋_GB2312" w:hAnsi="Times New Roman" w:eastAsia="仿宋_GB2312" w:cs="Times New Roman"/>
          <w:kern w:val="2"/>
          <w:sz w:val="28"/>
          <w:szCs w:val="28"/>
          <w:lang w:val="en-US" w:eastAsia="uk-UA" w:bidi="ar-SA"/>
        </w:rPr>
        <w:t xml:space="preserve">   </w:t>
      </w:r>
    </w:p>
    <w:p>
      <w:pPr>
        <w:ind w:firstLine="560" w:firstLineChars="200"/>
        <w:rPr>
          <w:rFonts w:hint="eastAsia"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kern w:val="2"/>
          <w:sz w:val="28"/>
          <w:szCs w:val="28"/>
          <w:lang w:val="en-US" w:eastAsia="uk-UA" w:bidi="ar-SA"/>
        </w:rPr>
        <w:t>今年学校把提高教学基本功、提升教师课堂教学能力作为教师培训的重点。由学校教务科牵头</w:t>
      </w:r>
      <w:r>
        <w:rPr>
          <w:rFonts w:hint="eastAsia" w:ascii="仿宋_GB2312" w:hAnsi="Times New Roman" w:eastAsia="仿宋_GB2312" w:cs="Times New Roman"/>
          <w:kern w:val="2"/>
          <w:sz w:val="28"/>
          <w:szCs w:val="28"/>
          <w:lang w:val="en-US" w:eastAsia="zh-CN" w:bidi="ar-SA"/>
        </w:rPr>
        <w:t>组织去年公开课获奖</w:t>
      </w:r>
      <w:r>
        <w:rPr>
          <w:rFonts w:hint="eastAsia" w:ascii="仿宋_GB2312" w:hAnsi="Times New Roman" w:eastAsia="仿宋_GB2312" w:cs="Times New Roman"/>
          <w:kern w:val="2"/>
          <w:sz w:val="28"/>
          <w:szCs w:val="28"/>
          <w:lang w:val="en-US" w:eastAsia="uk-UA" w:bidi="ar-SA"/>
        </w:rPr>
        <w:t>老师</w:t>
      </w:r>
      <w:r>
        <w:rPr>
          <w:rFonts w:hint="eastAsia" w:ascii="仿宋_GB2312" w:hAnsi="Times New Roman" w:eastAsia="仿宋_GB2312" w:cs="Times New Roman"/>
          <w:kern w:val="2"/>
          <w:sz w:val="28"/>
          <w:szCs w:val="28"/>
          <w:lang w:val="en-US" w:eastAsia="zh-CN" w:bidi="ar-SA"/>
        </w:rPr>
        <w:t>开展</w:t>
      </w:r>
      <w:r>
        <w:rPr>
          <w:rFonts w:hint="eastAsia" w:ascii="仿宋_GB2312" w:hAnsi="Times New Roman" w:eastAsia="仿宋_GB2312" w:cs="Times New Roman"/>
          <w:kern w:val="2"/>
          <w:sz w:val="28"/>
          <w:szCs w:val="28"/>
          <w:lang w:val="en-US" w:eastAsia="uk-UA" w:bidi="ar-SA"/>
        </w:rPr>
        <w:t>观摩课，</w:t>
      </w:r>
      <w:r>
        <w:rPr>
          <w:rFonts w:hint="eastAsia" w:ascii="仿宋_GB2312" w:hAnsi="Times New Roman" w:eastAsia="仿宋_GB2312" w:cs="Times New Roman"/>
          <w:kern w:val="2"/>
          <w:sz w:val="28"/>
          <w:szCs w:val="28"/>
          <w:lang w:val="en-US" w:eastAsia="zh-CN" w:bidi="ar-SA"/>
        </w:rPr>
        <w:t>并带领相应学科新教师进行听课、评课，此次活动不仅给优秀教师搭建了一个展示自身才华的平台，同时针对性地帮助新</w:t>
      </w:r>
      <w:r>
        <w:rPr>
          <w:rFonts w:hint="eastAsia" w:ascii="仿宋_GB2312" w:hAnsi="Times New Roman" w:eastAsia="仿宋_GB2312" w:cs="Times New Roman"/>
          <w:kern w:val="2"/>
          <w:sz w:val="28"/>
          <w:szCs w:val="28"/>
          <w:lang w:val="en-US" w:eastAsia="uk-UA" w:bidi="ar-SA"/>
        </w:rPr>
        <w:t>教师提高</w:t>
      </w:r>
      <w:r>
        <w:rPr>
          <w:rFonts w:hint="eastAsia" w:ascii="仿宋_GB2312" w:hAnsi="Times New Roman" w:eastAsia="仿宋_GB2312" w:cs="Times New Roman"/>
          <w:kern w:val="2"/>
          <w:sz w:val="28"/>
          <w:szCs w:val="28"/>
          <w:lang w:val="en-US" w:eastAsia="zh-CN" w:bidi="ar-SA"/>
        </w:rPr>
        <w:t>了</w:t>
      </w:r>
      <w:r>
        <w:rPr>
          <w:rFonts w:hint="eastAsia" w:ascii="仿宋_GB2312" w:hAnsi="Times New Roman" w:eastAsia="仿宋_GB2312" w:cs="Times New Roman"/>
          <w:kern w:val="2"/>
          <w:sz w:val="28"/>
          <w:szCs w:val="28"/>
          <w:lang w:val="en-US" w:eastAsia="uk-UA" w:bidi="ar-SA"/>
        </w:rPr>
        <w:t>学科能力</w:t>
      </w:r>
      <w:r>
        <w:rPr>
          <w:rFonts w:hint="eastAsia" w:ascii="仿宋_GB2312" w:hAnsi="Times New Roman" w:eastAsia="仿宋_GB2312" w:cs="Times New Roman"/>
          <w:kern w:val="2"/>
          <w:sz w:val="28"/>
          <w:szCs w:val="28"/>
          <w:lang w:val="en-US" w:eastAsia="zh-CN" w:bidi="ar-SA"/>
        </w:rPr>
        <w:t>、</w:t>
      </w:r>
      <w:r>
        <w:rPr>
          <w:rFonts w:hint="eastAsia" w:ascii="仿宋_GB2312" w:hAnsi="Times New Roman" w:eastAsia="仿宋_GB2312" w:cs="Times New Roman"/>
          <w:kern w:val="2"/>
          <w:sz w:val="28"/>
          <w:szCs w:val="28"/>
          <w:lang w:val="en-US" w:eastAsia="uk-UA" w:bidi="ar-SA"/>
        </w:rPr>
        <w:t>了解</w:t>
      </w:r>
      <w:r>
        <w:rPr>
          <w:rFonts w:hint="eastAsia" w:ascii="仿宋_GB2312" w:hAnsi="Times New Roman" w:eastAsia="仿宋_GB2312" w:cs="Times New Roman"/>
          <w:kern w:val="2"/>
          <w:sz w:val="28"/>
          <w:szCs w:val="28"/>
          <w:lang w:val="en-US" w:eastAsia="zh-CN" w:bidi="ar-SA"/>
        </w:rPr>
        <w:t>了</w:t>
      </w:r>
      <w:r>
        <w:rPr>
          <w:rFonts w:hint="eastAsia" w:ascii="仿宋_GB2312" w:hAnsi="Times New Roman" w:eastAsia="仿宋_GB2312" w:cs="Times New Roman"/>
          <w:kern w:val="2"/>
          <w:sz w:val="28"/>
          <w:szCs w:val="28"/>
          <w:lang w:val="en-US" w:eastAsia="uk-UA" w:bidi="ar-SA"/>
        </w:rPr>
        <w:t>教学规律、</w:t>
      </w:r>
      <w:r>
        <w:rPr>
          <w:rFonts w:hint="eastAsia" w:ascii="仿宋_GB2312" w:hAnsi="Times New Roman" w:eastAsia="仿宋_GB2312" w:cs="Times New Roman"/>
          <w:kern w:val="2"/>
          <w:sz w:val="28"/>
          <w:szCs w:val="28"/>
          <w:lang w:val="en-US" w:eastAsia="zh-CN" w:bidi="ar-SA"/>
        </w:rPr>
        <w:t>把握了</w:t>
      </w:r>
      <w:r>
        <w:rPr>
          <w:rFonts w:hint="eastAsia" w:ascii="仿宋_GB2312" w:hAnsi="Times New Roman" w:eastAsia="仿宋_GB2312" w:cs="Times New Roman"/>
          <w:kern w:val="2"/>
          <w:sz w:val="28"/>
          <w:szCs w:val="28"/>
          <w:lang w:val="en-US" w:eastAsia="uk-UA" w:bidi="ar-SA"/>
        </w:rPr>
        <w:t>教学主旨</w:t>
      </w:r>
      <w:r>
        <w:rPr>
          <w:rFonts w:hint="eastAsia" w:ascii="仿宋_GB2312" w:hAnsi="Times New Roman" w:eastAsia="仿宋_GB2312" w:cs="Times New Roman"/>
          <w:kern w:val="2"/>
          <w:sz w:val="28"/>
          <w:szCs w:val="28"/>
          <w:lang w:val="en-US" w:eastAsia="zh-CN" w:bidi="ar-SA"/>
        </w:rPr>
        <w:t>、适应了课堂教学，促使新教师快速成长，</w:t>
      </w:r>
      <w:r>
        <w:rPr>
          <w:rFonts w:hint="eastAsia" w:ascii="仿宋_GB2312" w:hAnsi="Times New Roman" w:eastAsia="仿宋_GB2312" w:cs="Times New Roman"/>
          <w:kern w:val="2"/>
          <w:sz w:val="28"/>
          <w:szCs w:val="28"/>
          <w:lang w:val="en-US" w:eastAsia="uk-UA" w:bidi="ar-SA"/>
        </w:rPr>
        <w:t>熟悉并适</w:t>
      </w:r>
      <w:r>
        <w:rPr>
          <w:rFonts w:hint="eastAsia" w:ascii="仿宋_GB2312" w:hAnsi="Times New Roman" w:eastAsia="仿宋_GB2312" w:cs="Times New Roman"/>
          <w:kern w:val="2"/>
          <w:sz w:val="28"/>
          <w:szCs w:val="28"/>
          <w:lang w:val="en-US" w:eastAsia="zh-CN" w:bidi="ar-SA"/>
        </w:rPr>
        <w:t>应我校的教学、训练活动。</w:t>
      </w:r>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443480" cy="1483360"/>
            <wp:effectExtent l="0" t="0" r="13970" b="2540"/>
            <wp:docPr id="166" name="图片 2" descr="微信图片_2021111616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 descr="微信图片_20211116161939"/>
                    <pic:cNvPicPr>
                      <a:picLocks noChangeAspect="1"/>
                    </pic:cNvPicPr>
                  </pic:nvPicPr>
                  <pic:blipFill>
                    <a:blip r:embed="rId42"/>
                    <a:stretch>
                      <a:fillRect/>
                    </a:stretch>
                  </pic:blipFill>
                  <pic:spPr>
                    <a:xfrm>
                      <a:off x="0" y="0"/>
                      <a:ext cx="2443480" cy="1483360"/>
                    </a:xfrm>
                    <a:prstGeom prst="rect">
                      <a:avLst/>
                    </a:prstGeom>
                    <a:noFill/>
                    <a:ln>
                      <a:noFill/>
                    </a:ln>
                  </pic:spPr>
                </pic:pic>
              </a:graphicData>
            </a:graphic>
          </wp:inline>
        </w:draw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drawing>
          <wp:inline distT="0" distB="0" distL="114300" distR="114300">
            <wp:extent cx="2616200" cy="1477010"/>
            <wp:effectExtent l="0" t="0" r="12700" b="8890"/>
            <wp:docPr id="167" name="图片 3" descr="微信图片_2021111616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 descr="微信图片_20211116161857"/>
                    <pic:cNvPicPr>
                      <a:picLocks noChangeAspect="1"/>
                    </pic:cNvPicPr>
                  </pic:nvPicPr>
                  <pic:blipFill>
                    <a:blip r:embed="rId43"/>
                    <a:stretch>
                      <a:fillRect/>
                    </a:stretch>
                  </pic:blipFill>
                  <pic:spPr>
                    <a:xfrm>
                      <a:off x="0" y="0"/>
                      <a:ext cx="2616200" cy="1477010"/>
                    </a:xfrm>
                    <a:prstGeom prst="rect">
                      <a:avLst/>
                    </a:prstGeom>
                    <a:noFill/>
                    <a:ln>
                      <a:noFill/>
                    </a:ln>
                  </pic:spPr>
                </pic:pic>
              </a:graphicData>
            </a:graphic>
          </wp:inline>
        </w:drawing>
      </w:r>
    </w:p>
    <w:p>
      <w:pPr>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 xml:space="preserve">                  </w:t>
      </w:r>
      <w:r>
        <w:rPr>
          <w:rFonts w:hint="eastAsia" w:ascii="仿宋_GB2312" w:hAnsi="Times New Roman" w:eastAsia="仿宋_GB2312" w:cs="Times New Roman"/>
          <w:kern w:val="2"/>
          <w:sz w:val="28"/>
          <w:szCs w:val="28"/>
          <w:lang w:val="en-US" w:eastAsia="uk-UA" w:bidi="ar-SA"/>
        </w:rPr>
        <w:t>听 课 场 景</w:t>
      </w:r>
    </w:p>
    <w:p>
      <w:pPr>
        <w:ind w:firstLine="560" w:firstLineChars="200"/>
        <w:rPr>
          <w:rFonts w:hint="eastAsia" w:ascii="仿宋_GB2312" w:hAnsi="Times New Roman" w:eastAsia="仿宋_GB2312" w:cs="Times New Roman"/>
          <w:kern w:val="2"/>
          <w:sz w:val="28"/>
          <w:szCs w:val="28"/>
          <w:lang w:val="en-US" w:eastAsia="uk-UA" w:bidi="ar-SA"/>
        </w:rPr>
      </w:pPr>
      <w:r>
        <w:rPr>
          <w:rFonts w:hint="eastAsia" w:ascii="仿宋_GB2312" w:hAnsi="Times New Roman" w:eastAsia="仿宋_GB2312" w:cs="Times New Roman"/>
          <w:kern w:val="2"/>
          <w:sz w:val="28"/>
          <w:szCs w:val="28"/>
          <w:lang w:val="en-US" w:eastAsia="uk-UA" w:bidi="ar-SA"/>
        </w:rPr>
        <w:t xml:space="preserve">2、重视外出培训  </w:t>
      </w:r>
    </w:p>
    <w:p>
      <w:pPr>
        <w:ind w:firstLine="560" w:firstLineChars="200"/>
        <w:rPr>
          <w:rFonts w:hint="eastAsia" w:ascii="仿宋_GB2312" w:hAnsi="Times New Roman" w:eastAsia="仿宋_GB2312" w:cs="Times New Roman"/>
          <w:kern w:val="2"/>
          <w:sz w:val="28"/>
          <w:szCs w:val="28"/>
          <w:lang w:val="en-US" w:eastAsia="uk-UA" w:bidi="ar-SA"/>
        </w:rPr>
      </w:pPr>
      <w:r>
        <w:rPr>
          <w:rFonts w:hint="eastAsia" w:ascii="仿宋_GB2312" w:hAnsi="Times New Roman" w:eastAsia="仿宋_GB2312" w:cs="Times New Roman"/>
          <w:kern w:val="2"/>
          <w:sz w:val="28"/>
          <w:szCs w:val="28"/>
          <w:lang w:val="en-US" w:eastAsia="uk-UA" w:bidi="ar-SA"/>
        </w:rPr>
        <w:t>为开阔教师的视野，提升教师的专业素质和教育教学水平，学校十分重视派教师外出培训，培训内容涉及教师素质提高、公共基础课程标准、教练员岗位培训、教练员国际规程规则培训、业余教练员培训等多个领域。通过培训，有力地提升了教师工作能力，促进了学校各项工作的开展。我校</w:t>
      </w:r>
      <w:r>
        <w:rPr>
          <w:rFonts w:hint="eastAsia" w:ascii="仿宋_GB2312" w:hAnsi="Times New Roman" w:eastAsia="仿宋_GB2312" w:cs="Times New Roman"/>
          <w:kern w:val="2"/>
          <w:sz w:val="28"/>
          <w:szCs w:val="28"/>
          <w:lang w:val="en-US" w:eastAsia="zh-CN" w:bidi="ar-SA"/>
        </w:rPr>
        <w:t>2021年教练员参加山西省体育局培训共6人，</w:t>
      </w:r>
      <w:r>
        <w:rPr>
          <w:rFonts w:hint="eastAsia" w:ascii="仿宋_GB2312" w:hAnsi="Times New Roman" w:eastAsia="仿宋_GB2312" w:cs="Times New Roman"/>
          <w:kern w:val="2"/>
          <w:sz w:val="28"/>
          <w:szCs w:val="28"/>
          <w:lang w:val="en-US" w:eastAsia="uk-UA" w:bidi="ar-SA"/>
        </w:rPr>
        <w:t>教师参加省内培训</w:t>
      </w:r>
      <w:r>
        <w:rPr>
          <w:rFonts w:hint="eastAsia" w:ascii="仿宋_GB2312" w:hAnsi="Times New Roman" w:eastAsia="仿宋_GB2312" w:cs="Times New Roman"/>
          <w:kern w:val="2"/>
          <w:sz w:val="28"/>
          <w:szCs w:val="28"/>
          <w:lang w:val="en-US" w:eastAsia="zh-CN" w:bidi="ar-SA"/>
        </w:rPr>
        <w:t>共6人</w:t>
      </w:r>
      <w:r>
        <w:rPr>
          <w:rFonts w:hint="eastAsia" w:ascii="仿宋_GB2312" w:hAnsi="Times New Roman" w:eastAsia="仿宋_GB2312" w:cs="Times New Roman"/>
          <w:kern w:val="2"/>
          <w:sz w:val="28"/>
          <w:szCs w:val="28"/>
          <w:lang w:val="en-US" w:eastAsia="uk-UA" w:bidi="ar-SA"/>
        </w:rPr>
        <w:t>。</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2"/>
        <w:rPr>
          <w:rFonts w:hint="eastAsia" w:ascii="仿宋_GB2312" w:hAnsi="Times New Roman" w:eastAsia="仿宋_GB2312" w:cs="Times New Roman"/>
          <w:b/>
          <w:bCs/>
          <w:kern w:val="2"/>
          <w:sz w:val="28"/>
          <w:szCs w:val="28"/>
          <w:lang w:val="en-US" w:eastAsia="uk-UA" w:bidi="ar-SA"/>
        </w:rPr>
      </w:pPr>
      <w:bookmarkStart w:id="83" w:name="_Toc1100"/>
      <w:bookmarkStart w:id="84" w:name="_Toc22860"/>
      <w:r>
        <w:rPr>
          <w:rFonts w:hint="eastAsia" w:ascii="仿宋_GB2312" w:hAnsi="Times New Roman" w:eastAsia="仿宋_GB2312" w:cs="Times New Roman"/>
          <w:b/>
          <w:bCs/>
          <w:kern w:val="2"/>
          <w:sz w:val="28"/>
          <w:szCs w:val="28"/>
          <w:lang w:val="en-US" w:eastAsia="uk-UA" w:bidi="ar-SA"/>
        </w:rPr>
        <w:t>3.3.2企业实践锻炼</w:t>
      </w:r>
      <w:bookmarkEnd w:id="83"/>
      <w:bookmarkEnd w:id="84"/>
    </w:p>
    <w:p>
      <w:pPr>
        <w:ind w:firstLine="560" w:firstLineChars="200"/>
      </w:pPr>
      <w:r>
        <w:rPr>
          <w:rFonts w:hint="eastAsia" w:ascii="仿宋_GB2312" w:hAnsi="Times New Roman" w:eastAsia="仿宋_GB2312" w:cs="Times New Roman"/>
          <w:kern w:val="2"/>
          <w:sz w:val="28"/>
          <w:szCs w:val="28"/>
          <w:lang w:val="en-US" w:eastAsia="zh-CN" w:bidi="ar-SA"/>
        </w:rPr>
        <w:t>在与</w:t>
      </w:r>
      <w:r>
        <w:rPr>
          <w:rFonts w:hint="eastAsia" w:ascii="仿宋_GB2312" w:hAnsi="Times New Roman" w:eastAsia="仿宋_GB2312" w:cs="Times New Roman"/>
          <w:kern w:val="2"/>
          <w:sz w:val="28"/>
          <w:szCs w:val="28"/>
          <w:lang w:val="en-US" w:eastAsia="uk-UA" w:bidi="ar-SA"/>
        </w:rPr>
        <w:t>热力公司校企合作以</w:t>
      </w:r>
      <w:r>
        <w:rPr>
          <w:rFonts w:hint="eastAsia" w:ascii="仿宋_GB2312" w:hAnsi="Times New Roman" w:eastAsia="仿宋_GB2312" w:cs="Times New Roman"/>
          <w:kern w:val="2"/>
          <w:sz w:val="28"/>
          <w:szCs w:val="28"/>
          <w:lang w:val="en-US" w:eastAsia="zh-CN" w:bidi="ar-SA"/>
        </w:rPr>
        <w:t>来</w:t>
      </w:r>
      <w:r>
        <w:rPr>
          <w:rFonts w:hint="eastAsia" w:ascii="仿宋_GB2312" w:hAnsi="Times New Roman" w:eastAsia="仿宋_GB2312" w:cs="Times New Roman"/>
          <w:kern w:val="2"/>
          <w:sz w:val="28"/>
          <w:szCs w:val="28"/>
          <w:lang w:val="en-US" w:eastAsia="uk-UA" w:bidi="ar-SA"/>
        </w:rPr>
        <w:t>，学校派足球教练员、篮球教练员到热力公司辅导训练。</w:t>
      </w:r>
      <w:r>
        <w:rPr>
          <w:rFonts w:hint="eastAsia" w:ascii="仿宋_GB2312" w:hAnsi="Times New Roman" w:eastAsia="仿宋_GB2312" w:cs="Times New Roman"/>
          <w:kern w:val="2"/>
          <w:sz w:val="28"/>
          <w:szCs w:val="28"/>
          <w:lang w:val="en-US" w:eastAsia="zh-CN" w:bidi="ar-SA"/>
        </w:rPr>
        <w:t>热力</w:t>
      </w:r>
      <w:r>
        <w:rPr>
          <w:rFonts w:hint="eastAsia" w:ascii="仿宋_GB2312" w:hAnsi="Times New Roman" w:eastAsia="仿宋_GB2312" w:cs="Times New Roman"/>
          <w:kern w:val="2"/>
          <w:sz w:val="28"/>
          <w:szCs w:val="28"/>
          <w:lang w:val="en-US" w:eastAsia="uk-UA" w:bidi="ar-SA"/>
        </w:rPr>
        <w:t>公司为了保障学校上课和训练正常进行，也派相关技术人员到学校指导供暖工作，宣传供热知识。近两年里足球队，篮球队，交流比赛20余场，学校为了保障热力公司参加山西省体育局、山西足协和全国</w:t>
      </w:r>
      <w:r>
        <w:rPr>
          <w:rFonts w:hint="eastAsia" w:ascii="仿宋_GB2312" w:hAnsi="Times New Roman" w:eastAsia="仿宋_GB2312" w:cs="Times New Roman"/>
          <w:kern w:val="2"/>
          <w:sz w:val="28"/>
          <w:szCs w:val="28"/>
          <w:lang w:val="en-US" w:eastAsia="zh-CN" w:bidi="ar-SA"/>
        </w:rPr>
        <w:t>“</w:t>
      </w:r>
      <w:r>
        <w:rPr>
          <w:rFonts w:hint="eastAsia" w:ascii="仿宋_GB2312" w:hAnsi="Times New Roman" w:eastAsia="仿宋_GB2312" w:cs="Times New Roman"/>
          <w:kern w:val="2"/>
          <w:sz w:val="28"/>
          <w:szCs w:val="28"/>
          <w:lang w:val="en-US" w:eastAsia="uk-UA" w:bidi="ar-SA"/>
        </w:rPr>
        <w:t>我爱</w:t>
      </w:r>
      <w:r>
        <w:rPr>
          <w:rFonts w:hint="eastAsia" w:ascii="仿宋_GB2312" w:hAnsi="Times New Roman" w:eastAsia="仿宋_GB2312" w:cs="Times New Roman"/>
          <w:kern w:val="2"/>
          <w:sz w:val="28"/>
          <w:szCs w:val="28"/>
          <w:lang w:val="en-US" w:eastAsia="zh-CN" w:bidi="ar-SA"/>
        </w:rPr>
        <w:t>足球”中国民间</w:t>
      </w:r>
      <w:r>
        <w:rPr>
          <w:rFonts w:hint="eastAsia" w:ascii="仿宋_GB2312" w:hAnsi="Times New Roman" w:eastAsia="仿宋_GB2312" w:cs="Times New Roman"/>
          <w:kern w:val="2"/>
          <w:sz w:val="28"/>
          <w:szCs w:val="28"/>
          <w:lang w:val="en-US" w:eastAsia="uk-UA" w:bidi="ar-SA"/>
        </w:rPr>
        <w:t>争霸赛常年提供训练场地</w:t>
      </w:r>
      <w:r>
        <w:rPr>
          <w:rFonts w:hint="eastAsia" w:ascii="仿宋_GB2312" w:hAnsi="Times New Roman" w:eastAsia="仿宋_GB2312" w:cs="Times New Roman"/>
          <w:kern w:val="2"/>
          <w:sz w:val="28"/>
          <w:szCs w:val="28"/>
          <w:lang w:val="en-US" w:eastAsia="zh-CN" w:bidi="ar-SA"/>
        </w:rPr>
        <w:t>。为了活跃文化生活</w:t>
      </w:r>
      <w:r>
        <w:rPr>
          <w:rFonts w:hint="eastAsia" w:ascii="仿宋_GB2312" w:hAnsi="Times New Roman" w:eastAsia="仿宋_GB2312" w:cs="Times New Roman"/>
          <w:kern w:val="2"/>
          <w:sz w:val="28"/>
          <w:szCs w:val="28"/>
          <w:lang w:val="en-US" w:eastAsia="uk-UA" w:bidi="ar-SA"/>
        </w:rPr>
        <w:t>热力公司连续</w:t>
      </w:r>
      <w:r>
        <w:rPr>
          <w:rFonts w:hint="eastAsia" w:ascii="仿宋_GB2312" w:hAnsi="Times New Roman" w:eastAsia="仿宋_GB2312" w:cs="Times New Roman"/>
          <w:kern w:val="2"/>
          <w:sz w:val="28"/>
          <w:szCs w:val="28"/>
          <w:lang w:val="en-US" w:eastAsia="zh-CN" w:bidi="ar-SA"/>
        </w:rPr>
        <w:t>多</w:t>
      </w:r>
      <w:r>
        <w:rPr>
          <w:rFonts w:hint="eastAsia" w:ascii="仿宋_GB2312" w:hAnsi="Times New Roman" w:eastAsia="仿宋_GB2312" w:cs="Times New Roman"/>
          <w:kern w:val="2"/>
          <w:sz w:val="28"/>
          <w:szCs w:val="28"/>
          <w:lang w:val="en-US" w:eastAsia="uk-UA" w:bidi="ar-SA"/>
        </w:rPr>
        <w:t>年参加学校迎新年联欢会</w:t>
      </w:r>
      <w:r>
        <w:rPr>
          <w:rFonts w:hint="eastAsia" w:ascii="仿宋_GB2312" w:hAnsi="Times New Roman" w:eastAsia="仿宋_GB2312" w:cs="Times New Roman"/>
          <w:kern w:val="2"/>
          <w:sz w:val="28"/>
          <w:szCs w:val="28"/>
          <w:lang w:val="en-US" w:eastAsia="zh-CN" w:bidi="ar-SA"/>
        </w:rPr>
        <w:t>等活动</w:t>
      </w:r>
      <w:r>
        <w:rPr>
          <w:rFonts w:hint="eastAsia" w:ascii="仿宋_GB2312" w:hAnsi="Times New Roman" w:eastAsia="仿宋_GB2312" w:cs="Times New Roman"/>
          <w:kern w:val="2"/>
          <w:sz w:val="28"/>
          <w:szCs w:val="28"/>
          <w:lang w:val="en-US" w:eastAsia="uk-UA" w:bidi="ar-SA"/>
        </w:rPr>
        <w:t>。</w:t>
      </w:r>
      <w:r>
        <w:rPr>
          <w:rFonts w:hint="eastAsia" w:ascii="仿宋_GB2312" w:hAnsi="Times New Roman" w:eastAsia="仿宋_GB2312" w:cs="Times New Roman"/>
          <w:kern w:val="2"/>
          <w:sz w:val="28"/>
          <w:szCs w:val="28"/>
          <w:lang w:val="en-US" w:eastAsia="zh-CN" w:bidi="ar-SA"/>
        </w:rPr>
        <w:t>通过一系列活动为校企双方今后更好地开展合作搭建了平台。</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2"/>
        <w:rPr>
          <w:rFonts w:hint="eastAsia" w:ascii="仿宋_GB2312" w:hAnsi="Times New Roman" w:eastAsia="仿宋_GB2312" w:cs="Times New Roman"/>
          <w:b/>
          <w:bCs/>
          <w:kern w:val="2"/>
          <w:sz w:val="28"/>
          <w:szCs w:val="28"/>
          <w:lang w:val="en-US" w:eastAsia="uk-UA" w:bidi="ar-SA"/>
        </w:rPr>
      </w:pPr>
      <w:bookmarkStart w:id="85" w:name="_Toc1256"/>
      <w:bookmarkStart w:id="86" w:name="_Toc3194"/>
      <w:r>
        <w:rPr>
          <w:rFonts w:hint="eastAsia" w:ascii="仿宋_GB2312" w:hAnsi="Times New Roman" w:eastAsia="仿宋_GB2312" w:cs="Times New Roman"/>
          <w:b/>
          <w:bCs/>
          <w:kern w:val="2"/>
          <w:sz w:val="28"/>
          <w:szCs w:val="28"/>
          <w:lang w:val="en-US" w:eastAsia="uk-UA" w:bidi="ar-SA"/>
        </w:rPr>
        <w:t>3.3.3教学能力大赛</w:t>
      </w:r>
      <w:bookmarkEnd w:id="85"/>
      <w:bookmarkEnd w:id="86"/>
    </w:p>
    <w:p>
      <w:pPr>
        <w:ind w:firstLine="560" w:firstLineChars="200"/>
        <w:rPr>
          <w:rFonts w:hint="default" w:eastAsia="仿宋_GB2312"/>
          <w:lang w:val="en-US" w:eastAsia="zh-CN"/>
        </w:rPr>
      </w:pPr>
      <w:r>
        <w:rPr>
          <w:rFonts w:hint="eastAsia" w:ascii="仿宋_GB2312" w:hAnsi="Times New Roman" w:eastAsia="仿宋_GB2312" w:cs="Times New Roman"/>
          <w:kern w:val="2"/>
          <w:sz w:val="28"/>
          <w:szCs w:val="28"/>
          <w:lang w:val="en-US" w:eastAsia="uk-UA" w:bidi="ar-SA"/>
        </w:rPr>
        <w:t>在充满信息社会的今天，迅速地筛选和获取有益的信息、准确地鉴别信息、创造性加工和处理信息，是老师应该具备的本领。学校非常重视和鼓励教师采用现代信息化教学技术，利用校园网络向学生传递综合信息，开展名师优质课堂教学，增强教学过程的直观性和可视性。信息化是未来发展的必然趋势，借助多媒体电子设备来提高课堂效率、提升个人学习能力，让学生的视野更宽阔，观念更贴近时代气息。学校多次组织优质课堂比赛，将信息化技术使用作为重要手段，来推动教学改革。</w:t>
      </w:r>
      <w:r>
        <w:rPr>
          <w:rFonts w:hint="eastAsia" w:ascii="仿宋_GB2312" w:hAnsi="Times New Roman" w:eastAsia="仿宋_GB2312" w:cs="Times New Roman"/>
          <w:kern w:val="2"/>
          <w:sz w:val="28"/>
          <w:szCs w:val="28"/>
          <w:lang w:val="en-US" w:eastAsia="zh-CN" w:bidi="ar-SA"/>
        </w:rPr>
        <w:t>2021年有三名教师参加了市教育局组织的教师教学职业技能大赛。</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2"/>
        <w:rPr>
          <w:rFonts w:hint="eastAsia" w:ascii="仿宋_GB2312" w:hAnsi="Times New Roman" w:eastAsia="仿宋_GB2312" w:cs="Times New Roman"/>
          <w:b/>
          <w:bCs/>
          <w:kern w:val="2"/>
          <w:sz w:val="28"/>
          <w:szCs w:val="28"/>
          <w:lang w:val="en-US" w:eastAsia="uk-UA" w:bidi="ar-SA"/>
        </w:rPr>
      </w:pPr>
      <w:bookmarkStart w:id="87" w:name="_Toc30876"/>
      <w:bookmarkStart w:id="88" w:name="_Toc20891"/>
      <w:r>
        <w:rPr>
          <w:rFonts w:hint="eastAsia" w:ascii="仿宋_GB2312" w:hAnsi="Times New Roman" w:eastAsia="仿宋_GB2312" w:cs="Times New Roman"/>
          <w:b/>
          <w:bCs/>
          <w:kern w:val="2"/>
          <w:sz w:val="28"/>
          <w:szCs w:val="28"/>
          <w:lang w:val="en-US" w:eastAsia="uk-UA" w:bidi="ar-SA"/>
        </w:rPr>
        <w:t>3.3.4兼职教队伍建设</w:t>
      </w:r>
      <w:bookmarkEnd w:id="87"/>
      <w:bookmarkEnd w:id="88"/>
    </w:p>
    <w:p>
      <w:pPr>
        <w:ind w:firstLine="560" w:firstLineChars="200"/>
        <w:rPr>
          <w:rFonts w:hint="eastAsia" w:ascii="仿宋_GB2312" w:hAnsi="Times New Roman" w:eastAsia="仿宋_GB2312" w:cs="Times New Roman"/>
          <w:kern w:val="2"/>
          <w:sz w:val="28"/>
          <w:szCs w:val="28"/>
          <w:lang w:val="en-US" w:eastAsia="uk-UA" w:bidi="ar-SA"/>
        </w:rPr>
      </w:pPr>
      <w:r>
        <w:rPr>
          <w:rFonts w:hint="eastAsia" w:ascii="仿宋_GB2312" w:hAnsi="Times New Roman" w:eastAsia="仿宋_GB2312" w:cs="Times New Roman"/>
          <w:kern w:val="2"/>
          <w:sz w:val="28"/>
          <w:szCs w:val="28"/>
          <w:lang w:val="en-US" w:eastAsia="uk-UA" w:bidi="ar-SA"/>
        </w:rPr>
        <w:t>兼职教师24人，兼职专业课教师24人。</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1"/>
        <w:rPr>
          <w:rFonts w:hint="eastAsia" w:ascii="仿宋_GB2312" w:hAnsi="Times New Roman" w:eastAsia="仿宋_GB2312" w:cs="Times New Roman"/>
          <w:b/>
          <w:bCs/>
          <w:kern w:val="2"/>
          <w:sz w:val="28"/>
          <w:szCs w:val="28"/>
          <w:lang w:val="en-US" w:eastAsia="uk-UA" w:bidi="ar-SA"/>
        </w:rPr>
      </w:pPr>
      <w:bookmarkStart w:id="89" w:name="_Toc17130"/>
      <w:bookmarkStart w:id="90" w:name="_Toc31061"/>
      <w:r>
        <w:rPr>
          <w:rFonts w:hint="eastAsia" w:ascii="仿宋_GB2312" w:hAnsi="Times New Roman" w:eastAsia="仿宋_GB2312" w:cs="Times New Roman"/>
          <w:b/>
          <w:bCs/>
          <w:kern w:val="2"/>
          <w:sz w:val="28"/>
          <w:szCs w:val="28"/>
          <w:lang w:val="en-US" w:eastAsia="uk-UA" w:bidi="ar-SA"/>
        </w:rPr>
        <w:t>3.4 校企合作</w:t>
      </w:r>
      <w:bookmarkEnd w:id="89"/>
      <w:bookmarkEnd w:id="90"/>
      <w:r>
        <w:rPr>
          <w:rFonts w:hint="eastAsia" w:ascii="仿宋_GB2312" w:hAnsi="Times New Roman" w:eastAsia="仿宋_GB2312" w:cs="Times New Roman"/>
          <w:b/>
          <w:bCs/>
          <w:kern w:val="2"/>
          <w:sz w:val="28"/>
          <w:szCs w:val="28"/>
          <w:lang w:val="en-US" w:eastAsia="uk-UA" w:bidi="ar-SA"/>
        </w:rPr>
        <w:t xml:space="preserve">  </w:t>
      </w:r>
    </w:p>
    <w:p>
      <w:pPr>
        <w:ind w:firstLine="560" w:firstLineChars="200"/>
        <w:outlineLvl w:val="9"/>
        <w:rPr>
          <w:rFonts w:hint="eastAsia" w:ascii="仿宋_GB2312" w:hAnsi="Times New Roman" w:eastAsia="仿宋_GB2312" w:cs="Times New Roman"/>
          <w:kern w:val="2"/>
          <w:sz w:val="28"/>
          <w:szCs w:val="28"/>
          <w:lang w:val="en-US" w:eastAsia="uk-UA" w:bidi="ar-SA"/>
        </w:rPr>
      </w:pPr>
      <w:r>
        <w:rPr>
          <w:rFonts w:hint="eastAsia" w:ascii="仿宋_GB2312" w:hAnsi="Times New Roman" w:eastAsia="仿宋_GB2312" w:cs="Times New Roman"/>
          <w:kern w:val="2"/>
          <w:sz w:val="28"/>
          <w:szCs w:val="28"/>
          <w:lang w:val="en-US" w:eastAsia="uk-UA" w:bidi="ar-SA"/>
        </w:rPr>
        <w:t>我校根据国家劳动和社会保障部校企合作培养高技能人才工作会议精神，结合我校的实际情况，积极制定开展校企合作，提高办学综合实力，加强师资队伍建设，培养高素质高技能人才。学校逐步健全校企合作管理机制，制定相关的管理制度和办法，校企双方积极探索、扎实推进，共建实训基地、共促招生就业；校园文化与企业文化渗透融合，实现学校、企业、学生多赢局面，为毕业学生就业拓宽了渠道。通过校企</w:t>
      </w:r>
      <w:r>
        <w:rPr>
          <w:rFonts w:hint="eastAsia" w:ascii="仿宋_GB2312" w:hAnsi="Times New Roman" w:eastAsia="仿宋_GB2312" w:cs="Times New Roman"/>
          <w:kern w:val="2"/>
          <w:sz w:val="28"/>
          <w:szCs w:val="28"/>
          <w:lang w:val="en-US" w:eastAsia="zh-CN" w:bidi="ar-SA"/>
        </w:rPr>
        <w:t>深入融合</w:t>
      </w:r>
      <w:r>
        <w:rPr>
          <w:rFonts w:hint="eastAsia" w:ascii="仿宋_GB2312" w:hAnsi="Times New Roman" w:eastAsia="仿宋_GB2312" w:cs="Times New Roman"/>
          <w:kern w:val="2"/>
          <w:sz w:val="28"/>
          <w:szCs w:val="28"/>
          <w:lang w:val="en-US" w:eastAsia="uk-UA" w:bidi="ar-SA"/>
        </w:rPr>
        <w:t>，企业文化融入了学生的学习生活，学生的专业素养和实际操作能力得到了有效提高。校企合作为专业教师提供了全新的教学教研课堂，也为企业提供了相应的技术支持、培训支持。</w:t>
      </w:r>
    </w:p>
    <w:p>
      <w:pPr>
        <w:ind w:firstLine="560" w:firstLineChars="200"/>
        <w:outlineLvl w:val="9"/>
        <w:rPr>
          <w:rFonts w:hint="eastAsia"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kern w:val="2"/>
          <w:sz w:val="28"/>
          <w:szCs w:val="28"/>
          <w:lang w:val="en-US" w:eastAsia="zh-CN" w:bidi="ar-SA"/>
        </w:rPr>
        <w:t>目前</w:t>
      </w:r>
      <w:r>
        <w:rPr>
          <w:rFonts w:hint="eastAsia" w:ascii="仿宋_GB2312" w:hAnsi="Times New Roman" w:eastAsia="仿宋_GB2312" w:cs="Times New Roman"/>
          <w:kern w:val="2"/>
          <w:sz w:val="28"/>
          <w:szCs w:val="28"/>
          <w:lang w:val="en-US" w:eastAsia="uk-UA" w:bidi="ar-SA"/>
        </w:rPr>
        <w:t>学校已与大同</w:t>
      </w:r>
      <w:r>
        <w:rPr>
          <w:rFonts w:hint="eastAsia" w:ascii="仿宋_GB2312" w:hAnsi="Times New Roman" w:eastAsia="仿宋_GB2312" w:cs="Times New Roman"/>
          <w:kern w:val="2"/>
          <w:sz w:val="28"/>
          <w:szCs w:val="28"/>
          <w:lang w:val="en-US" w:eastAsia="zh-CN" w:bidi="ar-SA"/>
        </w:rPr>
        <w:t>万龙运动旅游有限</w:t>
      </w:r>
      <w:r>
        <w:rPr>
          <w:rFonts w:hint="eastAsia" w:ascii="仿宋_GB2312" w:hAnsi="Times New Roman" w:eastAsia="仿宋_GB2312" w:cs="Times New Roman"/>
          <w:kern w:val="2"/>
          <w:sz w:val="28"/>
          <w:szCs w:val="28"/>
          <w:lang w:val="en-US" w:eastAsia="uk-UA" w:bidi="ar-SA"/>
        </w:rPr>
        <w:t>公司、</w:t>
      </w:r>
      <w:r>
        <w:rPr>
          <w:rFonts w:hint="eastAsia" w:ascii="仿宋_GB2312" w:hAnsi="Times New Roman" w:eastAsia="仿宋_GB2312" w:cs="Times New Roman"/>
          <w:kern w:val="2"/>
          <w:sz w:val="28"/>
          <w:szCs w:val="28"/>
          <w:lang w:val="en-US" w:eastAsia="zh-CN" w:bidi="ar-SA"/>
        </w:rPr>
        <w:t>大同广瑞翔文化传媒有限公司、大同大学、中北大学、太原理工大学研究生校外实习实训基地、大同轻型飞机制造有限公司、京能大同热力有限公司以及广州城足球俱乐部签订了合作协议。</w:t>
      </w:r>
    </w:p>
    <w:p>
      <w:pPr>
        <w:ind w:firstLine="560" w:firstLineChars="200"/>
        <w:outlineLvl w:val="9"/>
        <w:rPr>
          <w:rFonts w:hint="eastAsia"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kern w:val="2"/>
          <w:sz w:val="28"/>
          <w:szCs w:val="28"/>
          <w:lang w:val="en-US" w:eastAsia="zh-CN" w:bidi="ar-SA"/>
        </w:rPr>
        <w:t>在万龙滑雪场参与</w:t>
      </w:r>
      <w:r>
        <w:rPr>
          <w:rFonts w:hint="eastAsia" w:ascii="仿宋_GB2312" w:hAnsi="Times New Roman" w:eastAsia="仿宋_GB2312" w:cs="Times New Roman"/>
          <w:kern w:val="2"/>
          <w:sz w:val="28"/>
          <w:szCs w:val="28"/>
          <w:lang w:val="en-US" w:eastAsia="uk-UA" w:bidi="ar-SA"/>
        </w:rPr>
        <w:t>顶岗</w:t>
      </w:r>
      <w:r>
        <w:rPr>
          <w:rFonts w:hint="eastAsia" w:ascii="仿宋_GB2312" w:hAnsi="Times New Roman" w:eastAsia="仿宋_GB2312" w:cs="Times New Roman"/>
          <w:kern w:val="2"/>
          <w:sz w:val="28"/>
          <w:szCs w:val="28"/>
          <w:lang w:val="en-US" w:eastAsia="zh-CN" w:bidi="ar-SA"/>
        </w:rPr>
        <w:t>实习且留企任教的学生已达数十人。为我校学生专业技能的发展提供了很好的平台，同时也能为我省发掘和不断培养更多适合参与冰雪项目的人才。</w:t>
      </w:r>
    </w:p>
    <w:p>
      <w:pPr>
        <w:ind w:firstLine="560" w:firstLineChars="200"/>
        <w:outlineLvl w:val="9"/>
        <w:rPr>
          <w:rFonts w:hint="eastAsia"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kern w:val="2"/>
          <w:sz w:val="28"/>
          <w:szCs w:val="28"/>
          <w:lang w:val="en-US" w:eastAsia="zh-CN" w:bidi="ar-SA"/>
        </w:rPr>
        <w:t>在与中北大学以及大同大学合作期间，我校部分运动员会选择其中一所学校参加考试入学继续大学深造，同时我校也为这两所学校体育院系的毕业生提供实习机会，不断深入促进双方合作。</w:t>
      </w:r>
    </w:p>
    <w:p>
      <w:pPr>
        <w:ind w:firstLine="560" w:firstLineChars="200"/>
        <w:jc w:val="left"/>
        <w:outlineLvl w:val="9"/>
        <w:rPr>
          <w:rFonts w:hint="eastAsia" w:ascii="仿宋_GB2312" w:eastAsia="仿宋_GB2312" w:cs="Times New Roman"/>
          <w:color w:val="111111"/>
          <w:kern w:val="2"/>
          <w:sz w:val="28"/>
          <w:szCs w:val="28"/>
          <w:lang w:eastAsia="zh-CN"/>
        </w:rPr>
      </w:pPr>
      <w:r>
        <w:rPr>
          <w:rFonts w:hint="eastAsia" w:ascii="仿宋_GB2312" w:hAnsi="Times New Roman" w:eastAsia="仿宋_GB2312" w:cs="Times New Roman"/>
          <w:kern w:val="2"/>
          <w:sz w:val="28"/>
          <w:szCs w:val="28"/>
          <w:lang w:val="en-US" w:eastAsia="zh-CN" w:bidi="ar-SA"/>
        </w:rPr>
        <w:t>2021年刚刚与广州城足球俱乐部签订了合作协议，共建北方青少年培训基地，力求紧抓青少年足球，让广大中、小学生在快乐足球中强身健体，通过足球培养青少年健全人格、健康体魄，进而为中国足球事业做出贡献。</w:t>
      </w:r>
      <w:r>
        <w:rPr>
          <w:rFonts w:hint="eastAsia" w:ascii="仿宋_GB2312" w:eastAsia="仿宋_GB2312" w:cs="Times New Roman"/>
          <w:color w:val="111111"/>
          <w:kern w:val="2"/>
          <w:sz w:val="28"/>
          <w:szCs w:val="28"/>
          <w:lang w:eastAsia="zh-CN"/>
        </w:rPr>
        <w:drawing>
          <wp:inline distT="0" distB="0" distL="114300" distR="114300">
            <wp:extent cx="5080000" cy="2304415"/>
            <wp:effectExtent l="5080" t="4445" r="20320" b="1524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keepNext/>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Times New Roman" w:eastAsia="仿宋_GB2312" w:cs="Times New Roman"/>
          <w:b/>
          <w:bCs/>
          <w:kern w:val="2"/>
          <w:sz w:val="28"/>
          <w:szCs w:val="28"/>
          <w:lang w:val="en-US" w:eastAsia="uk-UA" w:bidi="ar-SA"/>
        </w:rPr>
      </w:pPr>
      <w:r>
        <w:rPr>
          <w:rFonts w:hint="default" w:ascii="仿宋_GB2312" w:eastAsia="仿宋_GB2312" w:cs="Times New Roman"/>
          <w:color w:val="111111"/>
          <w:kern w:val="2"/>
          <w:sz w:val="28"/>
          <w:szCs w:val="28"/>
          <w:lang w:val="en-US" w:eastAsia="zh-CN"/>
        </w:rPr>
        <w:drawing>
          <wp:anchor distT="0" distB="0" distL="114300" distR="114300" simplePos="0" relativeHeight="251666432" behindDoc="1" locked="0" layoutInCell="1" allowOverlap="1">
            <wp:simplePos x="0" y="0"/>
            <wp:positionH relativeFrom="column">
              <wp:posOffset>2798445</wp:posOffset>
            </wp:positionH>
            <wp:positionV relativeFrom="paragraph">
              <wp:posOffset>80010</wp:posOffset>
            </wp:positionV>
            <wp:extent cx="2439035" cy="1795780"/>
            <wp:effectExtent l="0" t="0" r="18415" b="0"/>
            <wp:wrapTight wrapText="bothSides">
              <wp:wrapPolygon>
                <wp:start x="0" y="0"/>
                <wp:lineTo x="0" y="21310"/>
                <wp:lineTo x="21426" y="21310"/>
                <wp:lineTo x="21426" y="0"/>
                <wp:lineTo x="0" y="0"/>
              </wp:wrapPolygon>
            </wp:wrapTight>
            <wp:docPr id="28" name="图片 10" descr="85591237585821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descr="855912375858216524"/>
                    <pic:cNvPicPr>
                      <a:picLocks noChangeAspect="1"/>
                    </pic:cNvPicPr>
                  </pic:nvPicPr>
                  <pic:blipFill>
                    <a:blip r:embed="rId45"/>
                    <a:stretch>
                      <a:fillRect/>
                    </a:stretch>
                  </pic:blipFill>
                  <pic:spPr>
                    <a:xfrm>
                      <a:off x="0" y="0"/>
                      <a:ext cx="2439035" cy="1795780"/>
                    </a:xfrm>
                    <a:prstGeom prst="rect">
                      <a:avLst/>
                    </a:prstGeom>
                    <a:noFill/>
                    <a:ln>
                      <a:noFill/>
                    </a:ln>
                  </pic:spPr>
                </pic:pic>
              </a:graphicData>
            </a:graphic>
          </wp:anchor>
        </w:drawing>
      </w:r>
      <w:r>
        <w:rPr>
          <w:rFonts w:hint="default" w:ascii="仿宋_GB2312" w:eastAsia="仿宋_GB2312" w:cs="Times New Roman"/>
          <w:color w:val="111111"/>
          <w:kern w:val="2"/>
          <w:sz w:val="28"/>
          <w:szCs w:val="28"/>
          <w:lang w:val="en-US" w:eastAsia="zh-CN"/>
        </w:rPr>
        <w:drawing>
          <wp:anchor distT="0" distB="0" distL="114300" distR="114300" simplePos="0" relativeHeight="251665408" behindDoc="1" locked="0" layoutInCell="1" allowOverlap="1">
            <wp:simplePos x="0" y="0"/>
            <wp:positionH relativeFrom="column">
              <wp:posOffset>67945</wp:posOffset>
            </wp:positionH>
            <wp:positionV relativeFrom="paragraph">
              <wp:posOffset>108585</wp:posOffset>
            </wp:positionV>
            <wp:extent cx="2531745" cy="1768475"/>
            <wp:effectExtent l="0" t="0" r="0" b="3175"/>
            <wp:wrapTight wrapText="bothSides">
              <wp:wrapPolygon>
                <wp:start x="0" y="0"/>
                <wp:lineTo x="0" y="21406"/>
                <wp:lineTo x="21454" y="21406"/>
                <wp:lineTo x="21454" y="0"/>
                <wp:lineTo x="0" y="0"/>
              </wp:wrapPolygon>
            </wp:wrapTight>
            <wp:docPr id="29" name="图片 4" descr="6019729962985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60197299629856062"/>
                    <pic:cNvPicPr>
                      <a:picLocks noChangeAspect="1"/>
                    </pic:cNvPicPr>
                  </pic:nvPicPr>
                  <pic:blipFill>
                    <a:blip r:embed="rId46"/>
                    <a:stretch>
                      <a:fillRect/>
                    </a:stretch>
                  </pic:blipFill>
                  <pic:spPr>
                    <a:xfrm>
                      <a:off x="0" y="0"/>
                      <a:ext cx="2531745" cy="1768475"/>
                    </a:xfrm>
                    <a:prstGeom prst="rect">
                      <a:avLst/>
                    </a:prstGeom>
                    <a:noFill/>
                    <a:ln>
                      <a:noFill/>
                    </a:ln>
                  </pic:spPr>
                </pic:pic>
              </a:graphicData>
            </a:graphic>
          </wp:anchor>
        </w:drawing>
      </w:r>
      <w:r>
        <w:rPr>
          <w:rFonts w:hint="eastAsia" w:ascii="仿宋_GB2312" w:hAnsi="Times New Roman" w:eastAsia="仿宋_GB2312" w:cs="Times New Roman"/>
          <w:b/>
          <w:bCs/>
          <w:kern w:val="2"/>
          <w:sz w:val="28"/>
          <w:szCs w:val="28"/>
          <w:lang w:val="en-US" w:eastAsia="zh-CN" w:bidi="ar-SA"/>
        </w:rPr>
        <w:t xml:space="preserve">   </w:t>
      </w:r>
      <w:r>
        <w:rPr>
          <w:rFonts w:hint="eastAsia" w:ascii="仿宋_GB2312" w:hAnsi="Times New Roman" w:eastAsia="仿宋_GB2312" w:cs="Times New Roman"/>
          <w:b w:val="0"/>
          <w:bCs w:val="0"/>
          <w:kern w:val="2"/>
          <w:sz w:val="28"/>
          <w:szCs w:val="28"/>
          <w:lang w:val="en-US" w:eastAsia="zh-CN" w:bidi="ar-SA"/>
        </w:rPr>
        <w:t>部分学生教学现场</w:t>
      </w:r>
    </w:p>
    <w:p>
      <w:pPr>
        <w:pStyle w:val="2"/>
        <w:jc w:val="center"/>
        <w:rPr>
          <w:rFonts w:hint="eastAsia" w:ascii="仿宋_GB2312" w:hAnsi="Times New Roman" w:eastAsia="仿宋_GB2312" w:cs="Times New Roman"/>
          <w:b w:val="0"/>
          <w:bCs w:val="0"/>
          <w:kern w:val="2"/>
          <w:sz w:val="28"/>
          <w:szCs w:val="28"/>
          <w:lang w:val="en-US" w:eastAsia="zh-CN" w:bidi="ar-SA"/>
        </w:rPr>
      </w:pPr>
    </w:p>
    <w:p>
      <w:pPr>
        <w:pStyle w:val="2"/>
        <w:jc w:val="center"/>
        <w:rPr>
          <w:rFonts w:hint="eastAsia" w:ascii="仿宋_GB2312" w:hAnsi="Times New Roman" w:eastAsia="仿宋_GB2312" w:cs="Times New Roman"/>
          <w:b w:val="0"/>
          <w:bCs w:val="0"/>
          <w:kern w:val="2"/>
          <w:sz w:val="28"/>
          <w:szCs w:val="28"/>
          <w:lang w:val="en-US" w:eastAsia="zh-CN" w:bidi="ar-SA"/>
        </w:rPr>
      </w:pPr>
      <w:r>
        <w:rPr>
          <w:rFonts w:hint="eastAsia" w:ascii="仿宋_GB2312" w:eastAsia="仿宋_GB2312" w:cs="Times New Roman"/>
          <w:color w:val="111111"/>
          <w:kern w:val="2"/>
          <w:sz w:val="28"/>
          <w:szCs w:val="28"/>
          <w:lang w:eastAsia="zh-CN"/>
        </w:rPr>
        <w:drawing>
          <wp:anchor distT="0" distB="0" distL="114300" distR="114300" simplePos="0" relativeHeight="251660288" behindDoc="1" locked="0" layoutInCell="1" allowOverlap="1">
            <wp:simplePos x="0" y="0"/>
            <wp:positionH relativeFrom="column">
              <wp:posOffset>146050</wp:posOffset>
            </wp:positionH>
            <wp:positionV relativeFrom="paragraph">
              <wp:posOffset>8890</wp:posOffset>
            </wp:positionV>
            <wp:extent cx="4963795" cy="1913255"/>
            <wp:effectExtent l="0" t="0" r="65405" b="10795"/>
            <wp:wrapTight wrapText="bothSides">
              <wp:wrapPolygon>
                <wp:start x="0" y="0"/>
                <wp:lineTo x="0" y="21292"/>
                <wp:lineTo x="21553" y="21292"/>
                <wp:lineTo x="21553" y="0"/>
                <wp:lineTo x="0" y="0"/>
              </wp:wrapPolygon>
            </wp:wrapTight>
            <wp:docPr id="23" name="图片 9" descr="29455148124914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294551481249142780"/>
                    <pic:cNvPicPr>
                      <a:picLocks noChangeAspect="1"/>
                    </pic:cNvPicPr>
                  </pic:nvPicPr>
                  <pic:blipFill>
                    <a:blip r:embed="rId47"/>
                    <a:stretch>
                      <a:fillRect/>
                    </a:stretch>
                  </pic:blipFill>
                  <pic:spPr>
                    <a:xfrm>
                      <a:off x="0" y="0"/>
                      <a:ext cx="4963795" cy="1913255"/>
                    </a:xfrm>
                    <a:prstGeom prst="rect">
                      <a:avLst/>
                    </a:prstGeom>
                    <a:noFill/>
                    <a:ln>
                      <a:noFill/>
                    </a:ln>
                  </pic:spPr>
                </pic:pic>
              </a:graphicData>
            </a:graphic>
          </wp:anchor>
        </w:drawing>
      </w:r>
      <w:bookmarkStart w:id="91" w:name="_Toc25947"/>
      <w:r>
        <w:rPr>
          <w:rFonts w:hint="eastAsia" w:ascii="仿宋_GB2312" w:hAnsi="Times New Roman" w:eastAsia="仿宋_GB2312" w:cs="Times New Roman"/>
          <w:b w:val="0"/>
          <w:bCs w:val="0"/>
          <w:kern w:val="2"/>
          <w:sz w:val="28"/>
          <w:szCs w:val="28"/>
          <w:lang w:val="en-US" w:eastAsia="zh-CN" w:bidi="ar-SA"/>
        </w:rPr>
        <w:t>大同大学及中北大学部分实习生</w:t>
      </w:r>
    </w:p>
    <w:p>
      <w:pPr>
        <w:jc w:val="center"/>
        <w:outlineLvl w:val="9"/>
        <w:rPr>
          <w:rFonts w:hint="eastAsia" w:ascii="仿宋_GB2312" w:hAnsi="Times New Roman" w:eastAsia="仿宋_GB2312" w:cs="Times New Roman"/>
          <w:b w:val="0"/>
          <w:bCs w:val="0"/>
          <w:kern w:val="2"/>
          <w:sz w:val="28"/>
          <w:szCs w:val="28"/>
          <w:lang w:val="en-US" w:eastAsia="zh-CN" w:bidi="ar-SA"/>
        </w:rPr>
      </w:pPr>
    </w:p>
    <w:p>
      <w:pPr>
        <w:jc w:val="center"/>
        <w:outlineLvl w:val="9"/>
        <w:rPr>
          <w:rFonts w:hint="eastAsia" w:ascii="仿宋_GB2312" w:hAnsi="Times New Roman" w:eastAsia="仿宋_GB2312" w:cs="Times New Roman"/>
          <w:b w:val="0"/>
          <w:bCs w:val="0"/>
          <w:kern w:val="2"/>
          <w:sz w:val="28"/>
          <w:szCs w:val="28"/>
          <w:lang w:val="en-US" w:eastAsia="uk-UA" w:bidi="ar-SA"/>
        </w:rPr>
      </w:pPr>
      <w:r>
        <w:rPr>
          <w:rFonts w:hint="eastAsia" w:ascii="仿宋_GB2312" w:hAnsi="Times New Roman" w:eastAsia="仿宋_GB2312" w:cs="Times New Roman"/>
          <w:b w:val="0"/>
          <w:bCs w:val="0"/>
          <w:kern w:val="2"/>
          <w:sz w:val="28"/>
          <w:szCs w:val="28"/>
          <w:lang w:val="en-US" w:eastAsia="zh-CN" w:bidi="ar-SA"/>
        </w:rPr>
        <w:drawing>
          <wp:anchor distT="0" distB="0" distL="114300" distR="114300" simplePos="0" relativeHeight="251662336" behindDoc="1" locked="0" layoutInCell="1" allowOverlap="1">
            <wp:simplePos x="0" y="0"/>
            <wp:positionH relativeFrom="column">
              <wp:posOffset>2693670</wp:posOffset>
            </wp:positionH>
            <wp:positionV relativeFrom="paragraph">
              <wp:posOffset>88265</wp:posOffset>
            </wp:positionV>
            <wp:extent cx="2479040" cy="2176780"/>
            <wp:effectExtent l="0" t="0" r="16510" b="13970"/>
            <wp:wrapTight wrapText="bothSides">
              <wp:wrapPolygon>
                <wp:start x="0" y="0"/>
                <wp:lineTo x="0" y="21361"/>
                <wp:lineTo x="21412" y="21361"/>
                <wp:lineTo x="21412" y="0"/>
                <wp:lineTo x="0" y="0"/>
              </wp:wrapPolygon>
            </wp:wrapTight>
            <wp:docPr id="33" name="图片 18" descr="78145105752376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descr="781451057523765306"/>
                    <pic:cNvPicPr>
                      <a:picLocks noChangeAspect="1"/>
                    </pic:cNvPicPr>
                  </pic:nvPicPr>
                  <pic:blipFill>
                    <a:blip r:embed="rId48"/>
                    <a:stretch>
                      <a:fillRect/>
                    </a:stretch>
                  </pic:blipFill>
                  <pic:spPr>
                    <a:xfrm>
                      <a:off x="0" y="0"/>
                      <a:ext cx="2479040" cy="2176780"/>
                    </a:xfrm>
                    <a:prstGeom prst="rect">
                      <a:avLst/>
                    </a:prstGeom>
                    <a:noFill/>
                    <a:ln>
                      <a:noFill/>
                    </a:ln>
                  </pic:spPr>
                </pic:pic>
              </a:graphicData>
            </a:graphic>
          </wp:anchor>
        </w:drawing>
      </w:r>
      <w:r>
        <w:rPr>
          <w:rFonts w:hint="eastAsia" w:ascii="仿宋_GB2312" w:hAnsi="Times New Roman" w:eastAsia="仿宋_GB2312" w:cs="Times New Roman"/>
          <w:b w:val="0"/>
          <w:bCs w:val="0"/>
          <w:kern w:val="2"/>
          <w:sz w:val="28"/>
          <w:szCs w:val="28"/>
          <w:lang w:val="en-US" w:eastAsia="zh-CN" w:bidi="ar-SA"/>
        </w:rPr>
        <w:drawing>
          <wp:anchor distT="0" distB="0" distL="114300" distR="114300" simplePos="0" relativeHeight="251661312" behindDoc="1" locked="0" layoutInCell="1" allowOverlap="1">
            <wp:simplePos x="0" y="0"/>
            <wp:positionH relativeFrom="column">
              <wp:posOffset>-3810</wp:posOffset>
            </wp:positionH>
            <wp:positionV relativeFrom="paragraph">
              <wp:posOffset>97790</wp:posOffset>
            </wp:positionV>
            <wp:extent cx="2455545" cy="2181225"/>
            <wp:effectExtent l="0" t="0" r="1905" b="0"/>
            <wp:wrapTight wrapText="bothSides">
              <wp:wrapPolygon>
                <wp:start x="0" y="0"/>
                <wp:lineTo x="0" y="21506"/>
                <wp:lineTo x="21449" y="21506"/>
                <wp:lineTo x="21449" y="0"/>
                <wp:lineTo x="0" y="0"/>
              </wp:wrapPolygon>
            </wp:wrapTight>
            <wp:docPr id="32" name="图片 17" descr="64560790740326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descr="645607907403267807"/>
                    <pic:cNvPicPr>
                      <a:picLocks noChangeAspect="1"/>
                    </pic:cNvPicPr>
                  </pic:nvPicPr>
                  <pic:blipFill>
                    <a:blip r:embed="rId49"/>
                    <a:stretch>
                      <a:fillRect/>
                    </a:stretch>
                  </pic:blipFill>
                  <pic:spPr>
                    <a:xfrm>
                      <a:off x="0" y="0"/>
                      <a:ext cx="2455545" cy="2181225"/>
                    </a:xfrm>
                    <a:prstGeom prst="rect">
                      <a:avLst/>
                    </a:prstGeom>
                    <a:noFill/>
                    <a:ln>
                      <a:noFill/>
                    </a:ln>
                  </pic:spPr>
                </pic:pic>
              </a:graphicData>
            </a:graphic>
          </wp:anchor>
        </w:drawing>
      </w:r>
      <w:r>
        <w:rPr>
          <w:rFonts w:hint="eastAsia" w:ascii="仿宋_GB2312" w:hAnsi="Times New Roman" w:eastAsia="仿宋_GB2312" w:cs="Times New Roman"/>
          <w:b w:val="0"/>
          <w:bCs w:val="0"/>
          <w:kern w:val="2"/>
          <w:sz w:val="28"/>
          <w:szCs w:val="28"/>
          <w:lang w:val="en-US" w:eastAsia="zh-CN" w:bidi="ar-SA"/>
        </w:rPr>
        <w:t>与热力公司开展的各类友谊赛</w:t>
      </w:r>
    </w:p>
    <w:p>
      <w:pPr>
        <w:pStyle w:val="2"/>
        <w:outlineLvl w:val="9"/>
        <w:rPr>
          <w:rFonts w:hint="eastAsia" w:ascii="仿宋_GB2312" w:hAnsi="Times New Roman" w:eastAsia="仿宋_GB2312" w:cs="Times New Roman"/>
          <w:b/>
          <w:bCs/>
          <w:kern w:val="2"/>
          <w:sz w:val="28"/>
          <w:szCs w:val="28"/>
          <w:lang w:val="en-US" w:eastAsia="uk-UA" w:bidi="ar-SA"/>
        </w:rPr>
      </w:pPr>
    </w:p>
    <w:p>
      <w:pPr>
        <w:outlineLvl w:val="9"/>
        <w:rPr>
          <w:rFonts w:hint="eastAsia" w:ascii="仿宋_GB2312" w:hAnsi="Times New Roman" w:eastAsia="仿宋_GB2312" w:cs="Times New Roman"/>
          <w:b/>
          <w:bCs/>
          <w:kern w:val="2"/>
          <w:sz w:val="28"/>
          <w:szCs w:val="28"/>
          <w:lang w:val="en-US" w:eastAsia="uk-UA" w:bidi="ar-SA"/>
        </w:rPr>
      </w:pPr>
    </w:p>
    <w:p>
      <w:pPr>
        <w:pStyle w:val="2"/>
        <w:outlineLvl w:val="9"/>
        <w:rPr>
          <w:rFonts w:hint="eastAsia" w:ascii="仿宋_GB2312" w:hAnsi="Times New Roman" w:eastAsia="仿宋_GB2312" w:cs="Times New Roman"/>
          <w:b/>
          <w:bCs/>
          <w:kern w:val="2"/>
          <w:sz w:val="28"/>
          <w:szCs w:val="28"/>
          <w:lang w:val="en-US" w:eastAsia="uk-UA" w:bidi="ar-SA"/>
        </w:rPr>
      </w:pPr>
      <w:r>
        <w:rPr>
          <w:rFonts w:hint="eastAsia" w:ascii="仿宋_GB2312" w:eastAsia="仿宋_GB2312" w:cs="Times New Roman"/>
          <w:color w:val="111111"/>
          <w:kern w:val="2"/>
          <w:sz w:val="28"/>
          <w:szCs w:val="28"/>
          <w:lang w:eastAsia="zh-CN"/>
        </w:rPr>
        <w:drawing>
          <wp:anchor distT="0" distB="0" distL="114300" distR="114300" simplePos="0" relativeHeight="251664384" behindDoc="1" locked="0" layoutInCell="1" allowOverlap="1">
            <wp:simplePos x="0" y="0"/>
            <wp:positionH relativeFrom="column">
              <wp:posOffset>81280</wp:posOffset>
            </wp:positionH>
            <wp:positionV relativeFrom="paragraph">
              <wp:posOffset>63500</wp:posOffset>
            </wp:positionV>
            <wp:extent cx="2428240" cy="2186305"/>
            <wp:effectExtent l="0" t="0" r="10160" b="42545"/>
            <wp:wrapTight wrapText="bothSides">
              <wp:wrapPolygon>
                <wp:start x="0" y="0"/>
                <wp:lineTo x="0" y="21456"/>
                <wp:lineTo x="21351" y="21456"/>
                <wp:lineTo x="21351" y="0"/>
                <wp:lineTo x="0" y="0"/>
              </wp:wrapPolygon>
            </wp:wrapTight>
            <wp:docPr id="1" name="图片 2" descr="60806559481031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608065594810318647"/>
                    <pic:cNvPicPr>
                      <a:picLocks noChangeAspect="1"/>
                    </pic:cNvPicPr>
                  </pic:nvPicPr>
                  <pic:blipFill>
                    <a:blip r:embed="rId50"/>
                    <a:stretch>
                      <a:fillRect/>
                    </a:stretch>
                  </pic:blipFill>
                  <pic:spPr>
                    <a:xfrm>
                      <a:off x="0" y="0"/>
                      <a:ext cx="2428240" cy="2186305"/>
                    </a:xfrm>
                    <a:prstGeom prst="rect">
                      <a:avLst/>
                    </a:prstGeom>
                    <a:noFill/>
                    <a:ln>
                      <a:noFill/>
                    </a:ln>
                  </pic:spPr>
                </pic:pic>
              </a:graphicData>
            </a:graphic>
          </wp:anchor>
        </w:drawing>
      </w:r>
      <w:r>
        <w:rPr>
          <w:rFonts w:hint="default" w:ascii="仿宋_GB2312" w:hAnsi="Times New Roman" w:eastAsia="仿宋_GB2312" w:cs="Times New Roman"/>
          <w:b w:val="0"/>
          <w:bCs w:val="0"/>
          <w:kern w:val="2"/>
          <w:sz w:val="28"/>
          <w:szCs w:val="28"/>
          <w:lang w:val="en-US" w:eastAsia="zh-CN" w:bidi="ar-SA"/>
        </w:rPr>
        <w:drawing>
          <wp:anchor distT="0" distB="0" distL="114300" distR="114300" simplePos="0" relativeHeight="251663360" behindDoc="1" locked="0" layoutInCell="1" allowOverlap="1">
            <wp:simplePos x="0" y="0"/>
            <wp:positionH relativeFrom="column">
              <wp:posOffset>2769870</wp:posOffset>
            </wp:positionH>
            <wp:positionV relativeFrom="paragraph">
              <wp:posOffset>48895</wp:posOffset>
            </wp:positionV>
            <wp:extent cx="2394585" cy="2234565"/>
            <wp:effectExtent l="0" t="0" r="5715" b="51435"/>
            <wp:wrapTight wrapText="bothSides">
              <wp:wrapPolygon>
                <wp:start x="0" y="0"/>
                <wp:lineTo x="0" y="21361"/>
                <wp:lineTo x="21480" y="21361"/>
                <wp:lineTo x="21480" y="0"/>
                <wp:lineTo x="0" y="0"/>
              </wp:wrapPolygon>
            </wp:wrapTight>
            <wp:docPr id="38" name="图片 22" descr="微信图片_2021111612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descr="微信图片_20211116125346"/>
                    <pic:cNvPicPr>
                      <a:picLocks noChangeAspect="1"/>
                    </pic:cNvPicPr>
                  </pic:nvPicPr>
                  <pic:blipFill>
                    <a:blip r:embed="rId51"/>
                    <a:stretch>
                      <a:fillRect/>
                    </a:stretch>
                  </pic:blipFill>
                  <pic:spPr>
                    <a:xfrm>
                      <a:off x="0" y="0"/>
                      <a:ext cx="2394585" cy="2234565"/>
                    </a:xfrm>
                    <a:prstGeom prst="rect">
                      <a:avLst/>
                    </a:prstGeom>
                    <a:noFill/>
                    <a:ln>
                      <a:noFill/>
                    </a:ln>
                  </pic:spPr>
                </pic:pic>
              </a:graphicData>
            </a:graphic>
          </wp:anchor>
        </w:drawing>
      </w:r>
      <w:r>
        <w:rPr>
          <w:rFonts w:hint="eastAsia" w:ascii="仿宋_GB2312" w:hAnsi="Times New Roman" w:eastAsia="仿宋_GB2312" w:cs="Times New Roman"/>
          <w:b w:val="0"/>
          <w:bCs w:val="0"/>
          <w:kern w:val="2"/>
          <w:sz w:val="28"/>
          <w:szCs w:val="28"/>
          <w:lang w:val="en-US" w:eastAsia="zh-CN" w:bidi="ar-SA"/>
        </w:rPr>
        <w:t>与太原理工大学签约现场      与广州城足球俱乐部签约现场</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outlineLvl w:val="1"/>
        <w:rPr>
          <w:rFonts w:hint="eastAsia" w:ascii="仿宋_GB2312" w:hAnsi="Times New Roman" w:eastAsia="仿宋_GB2312" w:cs="Times New Roman"/>
          <w:b/>
          <w:bCs/>
          <w:kern w:val="2"/>
          <w:sz w:val="28"/>
          <w:szCs w:val="28"/>
          <w:lang w:val="en-US" w:eastAsia="uk-UA" w:bidi="ar-SA"/>
        </w:rPr>
      </w:pPr>
      <w:bookmarkStart w:id="92" w:name="_Toc24539"/>
      <w:r>
        <w:rPr>
          <w:rFonts w:hint="eastAsia" w:ascii="仿宋_GB2312" w:hAnsi="Times New Roman" w:eastAsia="仿宋_GB2312" w:cs="Times New Roman"/>
          <w:b/>
          <w:bCs/>
          <w:kern w:val="2"/>
          <w:sz w:val="28"/>
          <w:szCs w:val="28"/>
          <w:lang w:val="en-US" w:eastAsia="uk-UA" w:bidi="ar-SA"/>
        </w:rPr>
        <w:t>3.5 实习实训</w:t>
      </w:r>
      <w:bookmarkEnd w:id="91"/>
      <w:bookmarkEnd w:id="92"/>
    </w:p>
    <w:p>
      <w:pPr>
        <w:ind w:firstLine="560" w:firstLineChars="200"/>
        <w:outlineLvl w:val="9"/>
        <w:rPr>
          <w:rFonts w:hint="eastAsia"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kern w:val="2"/>
          <w:sz w:val="28"/>
          <w:szCs w:val="28"/>
          <w:lang w:val="en-US" w:eastAsia="zh-CN" w:bidi="ar-SA"/>
        </w:rPr>
        <w:t>学校的实训基地分校内校外两部分。校外基地与平城区教育局联合协商放在15所小学内，主要用于部分应届中专毕业生在小学实习任教；校内实训基地室内场馆15个，室外运动场地16个，能满足实习实训需求。</w:t>
      </w:r>
    </w:p>
    <w:p>
      <w:pPr>
        <w:ind w:firstLine="560" w:firstLineChars="200"/>
        <w:outlineLvl w:val="9"/>
        <w:rPr>
          <w:rFonts w:hint="eastAsia" w:ascii="仿宋_GB2312" w:hAnsi="Times New Roman" w:eastAsia="仿宋_GB2312" w:cs="Times New Roman"/>
          <w:b w:val="0"/>
          <w:bCs w:val="0"/>
          <w:kern w:val="2"/>
          <w:sz w:val="28"/>
          <w:szCs w:val="28"/>
          <w:lang w:val="en-US" w:eastAsia="zh-CN" w:bidi="ar-SA"/>
        </w:rPr>
      </w:pPr>
      <w:bookmarkStart w:id="93" w:name="_Toc4517"/>
      <w:r>
        <w:rPr>
          <w:rFonts w:hint="eastAsia" w:ascii="仿宋_GB2312" w:hAnsi="Times New Roman" w:eastAsia="仿宋_GB2312" w:cs="Times New Roman"/>
          <w:b w:val="0"/>
          <w:bCs w:val="0"/>
          <w:kern w:val="2"/>
          <w:sz w:val="28"/>
          <w:szCs w:val="28"/>
          <w:lang w:val="en-US" w:eastAsia="zh-CN" w:bidi="ar-SA"/>
        </w:rPr>
        <w:t>实习是学生专业学习的重要组成部分，是加强学生实践能力培养，提高学生综合职业能力，促进学生发展的重要途径。2021年，有比赛任务的毕业生安排在各运动队进行实习，没有比赛任务的毕业生安排在平城区教育局各小学进行实习，合作企业接收学生实习比例为100%。学校有专门的实习管理机构，建立了学生实习管理制度和学生实习管理档案，及时处理实习中的有关问题，积极跟踪学生实习情况，确保学生实习工作的正常秩序；通过岗位实习，为学生走上工作岗位打下了坚实基础，使其能够快速完成社会角色的转换，尽快适应工作岗位，承担相应的社会责任。</w:t>
      </w:r>
      <w:bookmarkEnd w:id="93"/>
      <w:bookmarkStart w:id="94" w:name="_Toc23961"/>
      <w:bookmarkStart w:id="95" w:name="_Toc19177"/>
    </w:p>
    <w:p>
      <w:pPr>
        <w:ind w:firstLine="562" w:firstLineChars="200"/>
        <w:outlineLvl w:val="9"/>
        <w:rPr>
          <w:rFonts w:hint="eastAsia" w:ascii="仿宋_GB2312" w:hAnsi="Times New Roman" w:eastAsia="仿宋_GB2312" w:cs="Times New Roman"/>
          <w:b/>
          <w:bCs/>
          <w:kern w:val="2"/>
          <w:sz w:val="28"/>
          <w:szCs w:val="28"/>
          <w:lang w:val="en-US" w:eastAsia="uk-UA" w:bidi="ar-SA"/>
        </w:rPr>
      </w:pPr>
      <w:r>
        <w:rPr>
          <w:rFonts w:hint="eastAsia" w:ascii="仿宋_GB2312" w:hAnsi="Times New Roman" w:eastAsia="仿宋_GB2312" w:cs="Times New Roman"/>
          <w:b/>
          <w:bCs/>
          <w:kern w:val="2"/>
          <w:sz w:val="28"/>
          <w:szCs w:val="28"/>
          <w:lang w:val="en-US" w:eastAsia="uk-UA" w:bidi="ar-SA"/>
        </w:rPr>
        <w:t>3.6 信息化建设</w:t>
      </w:r>
      <w:bookmarkEnd w:id="94"/>
      <w:bookmarkEnd w:id="95"/>
      <w:r>
        <w:rPr>
          <w:rFonts w:hint="eastAsia" w:ascii="仿宋_GB2312" w:hAnsi="Times New Roman" w:eastAsia="仿宋_GB2312" w:cs="Times New Roman"/>
          <w:b/>
          <w:bCs/>
          <w:kern w:val="2"/>
          <w:sz w:val="28"/>
          <w:szCs w:val="28"/>
          <w:lang w:val="en-US" w:eastAsia="uk-UA" w:bidi="ar-SA"/>
        </w:rPr>
        <w:t xml:space="preserve"> </w:t>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我校高度重视信息化建设的进程，积极落实《职业院校数字校园建设规范》， 统筹信息化整体规划，建设系统连通、数据融合共享的一体化信息服务平台，实现各类数据管理和交换的信息化。近年以来，我们以创建文明安全学校为契机，结合我校工作实际，边工作、边探索，聘请电脑软件设计人员，实现了无线网络的全校园覆盖，校园网主干最大宽带为50Mbps,以提高工作效能，实现业务工作的日常管理和无纸化办公等。在教学、训练、科研、学生管理及日常的办公等各个方面都做了大量的前期准备工作，争取创建一个能够满足教师、教练、职工、学生等多位一体的信息平台，为教职工营造一个良好的工作环境、为学生创造一个集学习训练生活于一体的美好校园。</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学校为各科室配备了微机及相关的外围设备，并且都接入了互联网，根据工作的需要财务微机接入了专门的财政网，基本上能够满足日常的工作需求。教务科在平常的工作中，从安排课程表、统计成绩、安排实习等都实现了微机办公。训练科在运动员注册、大赛成绩汇总、日常的运动员管理等方面也实现了微机办公。学生科在平时的学生工作方面，从学籍的电子化管理、招生录取、报名考试、学生体质监测、学生的资助等都实现了微机办公。办公室在平时的工作中，从人事职能、编制核定、岗位设置、工资申报、档案管理等方面也实现了微机办公。党办在平时的工作中，从安排政治学习、组织党员各种活动、上报各种资料都实现了电子化办公。</w:t>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学校建立了门户网站，为教职工及时获取信息提供了方便，对宣传学校也起到了很好的作用。学校基本实现了视频监控的全覆盖，对教学楼、训练馆、男生公寓、女生公寓等都设置了监控摄像头。教职工充分利用微信的即时通讯功能，建立了多个微信群，大大提供了平时的办公效率，在平时的工作中，教职工利用电子邮箱收发邮件等功能，实现了信息共享。疫情期间，各班级开通钉钉网课，大大提高了教学效率。</w:t>
      </w:r>
      <w:bookmarkStart w:id="96" w:name="_Toc30504"/>
    </w:p>
    <w:p>
      <w:pPr>
        <w:ind w:firstLine="562" w:firstLineChars="200"/>
        <w:outlineLvl w:val="0"/>
        <w:rPr>
          <w:rFonts w:hint="eastAsia" w:ascii="仿宋_GB2312" w:hAnsi="Times New Roman" w:eastAsia="仿宋_GB2312" w:cs="Times New Roman"/>
          <w:b/>
          <w:bCs/>
          <w:kern w:val="2"/>
          <w:sz w:val="28"/>
          <w:szCs w:val="28"/>
          <w:lang w:val="en-US" w:eastAsia="uk-UA" w:bidi="ar-SA"/>
        </w:rPr>
      </w:pPr>
      <w:bookmarkStart w:id="97" w:name="_Toc12577"/>
      <w:r>
        <w:rPr>
          <w:rFonts w:hint="eastAsia" w:ascii="仿宋_GB2312" w:hAnsi="Times New Roman" w:eastAsia="仿宋_GB2312" w:cs="Times New Roman"/>
          <w:b/>
          <w:bCs/>
          <w:kern w:val="2"/>
          <w:sz w:val="28"/>
          <w:szCs w:val="28"/>
          <w:lang w:val="en-US" w:eastAsia="uk-UA" w:bidi="ar-SA"/>
        </w:rPr>
        <w:t>4.政策保障</w:t>
      </w:r>
      <w:bookmarkEnd w:id="96"/>
      <w:bookmarkEnd w:id="97"/>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uk-UA" w:bidi="ar-SA"/>
        </w:rPr>
      </w:pPr>
      <w:bookmarkStart w:id="98" w:name="_Toc12535"/>
      <w:bookmarkStart w:id="99" w:name="_Toc29435"/>
      <w:r>
        <w:rPr>
          <w:rFonts w:hint="eastAsia" w:ascii="仿宋_GB2312" w:hAnsi="Times New Roman" w:eastAsia="仿宋_GB2312" w:cs="Times New Roman"/>
          <w:b/>
          <w:bCs/>
          <w:kern w:val="2"/>
          <w:sz w:val="28"/>
          <w:szCs w:val="28"/>
          <w:lang w:val="en-US" w:eastAsia="uk-UA" w:bidi="ar-SA"/>
        </w:rPr>
        <w:t>4.1 政府支持</w:t>
      </w:r>
      <w:bookmarkEnd w:id="98"/>
      <w:bookmarkEnd w:id="99"/>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default" w:ascii="仿宋_GB2312" w:hAnsi="仿宋_GB2312" w:eastAsia="仿宋_GB2312" w:cs="仿宋_GB2312"/>
          <w:b/>
          <w:bCs/>
          <w:kern w:val="0"/>
          <w:sz w:val="32"/>
          <w:szCs w:val="32"/>
          <w:highlight w:val="red"/>
          <w:lang w:val="en-US" w:eastAsia="zh-CN" w:bidi="ar-SA"/>
        </w:rPr>
      </w:pPr>
      <w:r>
        <w:rPr>
          <w:rFonts w:hint="eastAsia" w:ascii="仿宋_GB2312" w:hAnsi="Times New Roman" w:eastAsia="仿宋_GB2312" w:cs="Times New Roman"/>
          <w:b w:val="0"/>
          <w:bCs w:val="0"/>
          <w:kern w:val="2"/>
          <w:sz w:val="28"/>
          <w:szCs w:val="28"/>
          <w:lang w:val="en-US" w:eastAsia="zh-CN" w:bidi="ar-SA"/>
        </w:rPr>
        <w:t>2021年国家给予中专生免学费补助资金4000元/生/年（体育类）。学校积极争取项目专项资金，其中有：国家体育总局资助青训中心建设经费，40</w:t>
      </w:r>
      <w:r>
        <w:rPr>
          <w:rFonts w:hint="eastAsia" w:ascii="仿宋_GB2312" w:hAnsi="Times New Roman" w:eastAsia="仿宋_GB2312" w:cs="Times New Roman"/>
          <w:b w:val="0"/>
          <w:bCs w:val="0"/>
          <w:kern w:val="2"/>
          <w:sz w:val="28"/>
          <w:szCs w:val="28"/>
          <w:lang w:val="en-US" w:eastAsia="uk-UA" w:bidi="ar-SA"/>
        </w:rPr>
        <w:t>万资金全部到位</w:t>
      </w:r>
      <w:r>
        <w:rPr>
          <w:rFonts w:hint="eastAsia" w:ascii="仿宋_GB2312" w:hAnsi="Times New Roman" w:eastAsia="仿宋_GB2312" w:cs="Times New Roman"/>
          <w:b w:val="0"/>
          <w:bCs w:val="0"/>
          <w:kern w:val="2"/>
          <w:sz w:val="28"/>
          <w:szCs w:val="28"/>
          <w:lang w:val="en-US" w:eastAsia="zh-CN" w:bidi="ar-SA"/>
        </w:rPr>
        <w:t>；</w:t>
      </w:r>
      <w:r>
        <w:rPr>
          <w:rFonts w:hint="eastAsia" w:ascii="仿宋_GB2312" w:hAnsi="Times New Roman" w:eastAsia="仿宋_GB2312" w:cs="Times New Roman"/>
          <w:b w:val="0"/>
          <w:bCs w:val="0"/>
          <w:kern w:val="2"/>
          <w:sz w:val="28"/>
          <w:szCs w:val="28"/>
          <w:lang w:val="en-US" w:eastAsia="uk-UA" w:bidi="ar-SA"/>
        </w:rPr>
        <w:t>山西省</w:t>
      </w:r>
      <w:r>
        <w:rPr>
          <w:rFonts w:hint="eastAsia" w:ascii="仿宋_GB2312" w:hAnsi="Times New Roman" w:eastAsia="仿宋_GB2312" w:cs="Times New Roman"/>
          <w:b w:val="0"/>
          <w:bCs w:val="0"/>
          <w:kern w:val="2"/>
          <w:sz w:val="28"/>
          <w:szCs w:val="28"/>
          <w:lang w:val="en-US" w:eastAsia="zh-CN" w:bidi="ar-SA"/>
        </w:rPr>
        <w:t>业余训练精英教练经费，15</w:t>
      </w:r>
      <w:r>
        <w:rPr>
          <w:rFonts w:hint="eastAsia" w:ascii="仿宋_GB2312" w:hAnsi="Times New Roman" w:eastAsia="仿宋_GB2312" w:cs="Times New Roman"/>
          <w:b w:val="0"/>
          <w:bCs w:val="0"/>
          <w:kern w:val="2"/>
          <w:sz w:val="28"/>
          <w:szCs w:val="28"/>
          <w:lang w:val="en-US" w:eastAsia="uk-UA" w:bidi="ar-SA"/>
        </w:rPr>
        <w:t>万资金全部到位</w:t>
      </w:r>
      <w:bookmarkStart w:id="100" w:name="_Toc_1_3_0000000036"/>
      <w:r>
        <w:rPr>
          <w:rFonts w:hint="eastAsia" w:ascii="仿宋_GB2312" w:hAnsi="Times New Roman" w:eastAsia="仿宋_GB2312" w:cs="Times New Roman"/>
          <w:b w:val="0"/>
          <w:bCs w:val="0"/>
          <w:kern w:val="2"/>
          <w:sz w:val="28"/>
          <w:szCs w:val="28"/>
          <w:lang w:val="en-US" w:eastAsia="zh-CN" w:bidi="ar-SA"/>
        </w:rPr>
        <w:t>。</w:t>
      </w:r>
      <w:bookmarkEnd w:id="100"/>
      <w:r>
        <w:rPr>
          <w:rFonts w:hint="eastAsia" w:ascii="仿宋_GB2312" w:hAnsi="仿宋_GB2312" w:eastAsia="仿宋_GB2312" w:cs="仿宋_GB2312"/>
          <w:b/>
          <w:bCs/>
          <w:kern w:val="0"/>
          <w:sz w:val="32"/>
          <w:szCs w:val="32"/>
          <w:lang w:val="en-US" w:eastAsia="zh-CN" w:bidi="ar-SA"/>
        </w:rPr>
        <w:t xml:space="preserve"> </w:t>
      </w:r>
    </w:p>
    <w:p>
      <w:pPr>
        <w:widowControl/>
        <w:numPr>
          <w:ilvl w:val="0"/>
          <w:numId w:val="0"/>
        </w:numPr>
        <w:spacing w:line="360" w:lineRule="auto"/>
        <w:jc w:val="center"/>
        <w:outlineLvl w:val="9"/>
        <w:rPr>
          <w:rFonts w:hint="eastAsia" w:ascii="仿宋_GB2312" w:hAnsi="仿宋_GB2312" w:eastAsia="仿宋_GB2312" w:cs="仿宋_GB2312"/>
          <w:b/>
          <w:bCs/>
          <w:kern w:val="0"/>
          <w:sz w:val="28"/>
          <w:szCs w:val="28"/>
          <w:lang w:val="en-US" w:eastAsia="zh-CN" w:bidi="ar-SA"/>
        </w:rPr>
      </w:pPr>
      <w:r>
        <w:rPr>
          <w:rFonts w:hint="eastAsia" w:ascii="仿宋_GB2312" w:hAnsi="仿宋_GB2312" w:eastAsia="仿宋_GB2312" w:cs="仿宋_GB2312"/>
          <w:b/>
          <w:bCs/>
          <w:kern w:val="0"/>
          <w:sz w:val="28"/>
          <w:szCs w:val="28"/>
          <w:lang w:val="en-US" w:eastAsia="zh-CN" w:bidi="ar-SA"/>
        </w:rPr>
        <w:t>2021年获得政策支持项目</w:t>
      </w:r>
    </w:p>
    <w:tbl>
      <w:tblPr>
        <w:tblStyle w:val="15"/>
        <w:tblW w:w="49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2498"/>
        <w:gridCol w:w="1306"/>
        <w:gridCol w:w="751"/>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323" w:type="pct"/>
            <w:tcBorders>
              <w:top w:val="single" w:color="9BBB59" w:sz="8" w:space="0"/>
              <w:left w:val="single" w:color="9BBB59" w:sz="8" w:space="0"/>
              <w:bottom w:val="single" w:color="9BBB59" w:sz="12" w:space="0"/>
              <w:right w:val="single" w:color="9BBB59"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仿宋_GB2312" w:hAnsi="Times New Roman" w:eastAsia="仿宋_GB2312" w:cs="Times New Roman"/>
                <w:b/>
                <w:bCs/>
                <w:kern w:val="2"/>
                <w:sz w:val="24"/>
                <w:szCs w:val="24"/>
                <w:lang w:val="en-US" w:eastAsia="zh-CN" w:bidi="ar-SA"/>
              </w:rPr>
            </w:pPr>
            <w:r>
              <w:rPr>
                <w:rFonts w:hint="eastAsia" w:ascii="仿宋_GB2312" w:hAnsi="Times New Roman" w:eastAsia="仿宋_GB2312" w:cs="Times New Roman"/>
                <w:b/>
                <w:bCs/>
                <w:kern w:val="2"/>
                <w:sz w:val="24"/>
                <w:szCs w:val="24"/>
                <w:lang w:val="en-US" w:eastAsia="zh-CN" w:bidi="ar-SA"/>
              </w:rPr>
              <w:t>序号</w:t>
            </w:r>
          </w:p>
        </w:tc>
        <w:tc>
          <w:tcPr>
            <w:tcW w:w="1494" w:type="pct"/>
            <w:tcBorders>
              <w:top w:val="single" w:color="9BBB59" w:sz="8" w:space="0"/>
              <w:left w:val="single" w:color="9BBB59" w:sz="8" w:space="0"/>
              <w:bottom w:val="single" w:color="9BBB59" w:sz="12" w:space="0"/>
              <w:right w:val="single" w:color="9BBB59"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仿宋_GB2312" w:hAnsi="Times New Roman" w:eastAsia="仿宋_GB2312" w:cs="Times New Roman"/>
                <w:b/>
                <w:bCs/>
                <w:kern w:val="2"/>
                <w:sz w:val="24"/>
                <w:szCs w:val="24"/>
                <w:lang w:val="en-US" w:eastAsia="zh-CN" w:bidi="ar-SA"/>
              </w:rPr>
            </w:pPr>
            <w:r>
              <w:rPr>
                <w:rFonts w:hint="default" w:ascii="仿宋_GB2312" w:hAnsi="Times New Roman" w:eastAsia="仿宋_GB2312" w:cs="Times New Roman"/>
                <w:b/>
                <w:bCs/>
                <w:kern w:val="2"/>
                <w:sz w:val="24"/>
                <w:szCs w:val="24"/>
                <w:lang w:val="en-US" w:eastAsia="zh-CN" w:bidi="ar-SA"/>
              </w:rPr>
              <w:t>文件标题</w:t>
            </w:r>
          </w:p>
        </w:tc>
        <w:tc>
          <w:tcPr>
            <w:tcW w:w="781" w:type="pct"/>
            <w:tcBorders>
              <w:top w:val="single" w:color="9BBB59" w:sz="8" w:space="0"/>
              <w:left w:val="single" w:color="9BBB59" w:sz="8" w:space="0"/>
              <w:bottom w:val="single" w:color="9BBB59" w:sz="12" w:space="0"/>
              <w:right w:val="single" w:color="9BBB59"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仿宋_GB2312" w:hAnsi="Times New Roman" w:eastAsia="仿宋_GB2312" w:cs="Times New Roman"/>
                <w:b/>
                <w:bCs/>
                <w:kern w:val="2"/>
                <w:sz w:val="24"/>
                <w:szCs w:val="24"/>
                <w:lang w:val="en-US" w:eastAsia="zh-CN" w:bidi="ar-SA"/>
              </w:rPr>
            </w:pPr>
            <w:r>
              <w:rPr>
                <w:rFonts w:hint="default" w:ascii="仿宋_GB2312" w:hAnsi="Times New Roman" w:eastAsia="仿宋_GB2312" w:cs="Times New Roman"/>
                <w:b/>
                <w:bCs/>
                <w:kern w:val="2"/>
                <w:sz w:val="24"/>
                <w:szCs w:val="24"/>
                <w:lang w:val="en-US" w:eastAsia="zh-CN" w:bidi="ar-SA"/>
              </w:rPr>
              <w:t>发文字号</w:t>
            </w:r>
          </w:p>
        </w:tc>
        <w:tc>
          <w:tcPr>
            <w:tcW w:w="449" w:type="pct"/>
            <w:tcBorders>
              <w:top w:val="single" w:color="9BBB59" w:sz="8" w:space="0"/>
              <w:left w:val="single" w:color="9BBB59" w:sz="8" w:space="0"/>
              <w:bottom w:val="single" w:color="9BBB59" w:sz="12" w:space="0"/>
              <w:right w:val="single" w:color="9BBB59"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仿宋_GB2312" w:hAnsi="Times New Roman" w:eastAsia="仿宋_GB2312" w:cs="Times New Roman"/>
                <w:b/>
                <w:bCs/>
                <w:kern w:val="2"/>
                <w:sz w:val="24"/>
                <w:szCs w:val="24"/>
                <w:lang w:val="en-US" w:eastAsia="zh-CN" w:bidi="ar-SA"/>
              </w:rPr>
            </w:pPr>
            <w:r>
              <w:rPr>
                <w:rFonts w:hint="eastAsia" w:ascii="仿宋_GB2312" w:hAnsi="Times New Roman" w:eastAsia="仿宋_GB2312" w:cs="Times New Roman"/>
                <w:b/>
                <w:bCs/>
                <w:kern w:val="2"/>
                <w:sz w:val="24"/>
                <w:szCs w:val="24"/>
                <w:lang w:val="en-US" w:eastAsia="uk-UA" w:bidi="ar-SA"/>
              </w:rPr>
              <w:t>发文单位</w:t>
            </w:r>
          </w:p>
        </w:tc>
        <w:tc>
          <w:tcPr>
            <w:tcW w:w="1952" w:type="pct"/>
            <w:tcBorders>
              <w:top w:val="single" w:color="9BBB59" w:sz="8" w:space="0"/>
              <w:left w:val="single" w:color="9BBB59" w:sz="8" w:space="0"/>
              <w:bottom w:val="single" w:color="9BBB59" w:sz="12" w:space="0"/>
              <w:right w:val="single" w:color="9BBB59"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仿宋_GB2312" w:hAnsi="Times New Roman" w:eastAsia="仿宋_GB2312" w:cs="Times New Roman"/>
                <w:b/>
                <w:bCs/>
                <w:kern w:val="2"/>
                <w:sz w:val="24"/>
                <w:szCs w:val="24"/>
                <w:lang w:val="en-US" w:eastAsia="zh-CN" w:bidi="ar-SA"/>
              </w:rPr>
            </w:pPr>
            <w:r>
              <w:rPr>
                <w:rFonts w:hint="eastAsia" w:ascii="仿宋_GB2312" w:hAnsi="Times New Roman" w:eastAsia="仿宋_GB2312" w:cs="Times New Roman"/>
                <w:b/>
                <w:bCs/>
                <w:kern w:val="2"/>
                <w:sz w:val="24"/>
                <w:szCs w:val="24"/>
                <w:lang w:val="en-US" w:eastAsia="uk-UA" w:bidi="ar-SA"/>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323" w:type="pct"/>
            <w:tcBorders>
              <w:top w:val="single" w:color="9BBB59" w:sz="8" w:space="0"/>
              <w:left w:val="single" w:color="9BBB59" w:sz="8" w:space="0"/>
              <w:bottom w:val="single" w:color="9BBB59" w:sz="8" w:space="0"/>
              <w:right w:val="single" w:color="9BBB59"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仿宋_GB2312" w:hAnsi="Times New Roman" w:eastAsia="仿宋_GB2312" w:cs="Times New Roman"/>
                <w:b w:val="0"/>
                <w:bCs w:val="0"/>
                <w:kern w:val="2"/>
                <w:sz w:val="24"/>
                <w:szCs w:val="24"/>
                <w:lang w:val="en-US" w:eastAsia="zh-CN" w:bidi="ar-SA"/>
              </w:rPr>
            </w:pPr>
            <w:r>
              <w:rPr>
                <w:rFonts w:hint="eastAsia" w:ascii="仿宋_GB2312" w:hAnsi="Times New Roman" w:eastAsia="仿宋_GB2312" w:cs="Times New Roman"/>
                <w:b w:val="0"/>
                <w:bCs w:val="0"/>
                <w:kern w:val="2"/>
                <w:sz w:val="24"/>
                <w:szCs w:val="24"/>
                <w:lang w:val="en-US" w:eastAsia="zh-CN" w:bidi="ar-SA"/>
              </w:rPr>
              <w:t>1</w:t>
            </w:r>
          </w:p>
        </w:tc>
        <w:tc>
          <w:tcPr>
            <w:tcW w:w="1494" w:type="pct"/>
            <w:tcBorders>
              <w:top w:val="single" w:color="9BBB59" w:sz="8" w:space="0"/>
              <w:left w:val="single" w:color="9BBB59" w:sz="8" w:space="0"/>
              <w:bottom w:val="single" w:color="9BBB59" w:sz="8" w:space="0"/>
              <w:right w:val="single" w:color="9BBB59"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Times New Roman" w:eastAsia="仿宋_GB2312" w:cs="Times New Roman"/>
                <w:b w:val="0"/>
                <w:bCs w:val="0"/>
                <w:kern w:val="2"/>
                <w:sz w:val="24"/>
                <w:szCs w:val="24"/>
                <w:lang w:val="en-US" w:eastAsia="uk-UA" w:bidi="ar-SA"/>
              </w:rPr>
            </w:pPr>
            <w:bookmarkStart w:id="101" w:name="_Toc9151"/>
            <w:r>
              <w:rPr>
                <w:rFonts w:hint="eastAsia" w:ascii="仿宋_GB2312" w:hAnsi="Times New Roman" w:eastAsia="仿宋_GB2312" w:cs="Times New Roman"/>
                <w:b w:val="0"/>
                <w:bCs w:val="0"/>
                <w:kern w:val="2"/>
                <w:sz w:val="24"/>
                <w:szCs w:val="24"/>
                <w:lang w:val="en-US" w:eastAsia="uk-UA" w:bidi="ar-SA"/>
              </w:rPr>
              <w:t>山西省</w:t>
            </w:r>
            <w:r>
              <w:rPr>
                <w:rFonts w:hint="eastAsia" w:ascii="仿宋_GB2312" w:hAnsi="Times New Roman" w:eastAsia="仿宋_GB2312" w:cs="Times New Roman"/>
                <w:b w:val="0"/>
                <w:bCs w:val="0"/>
                <w:kern w:val="2"/>
                <w:sz w:val="24"/>
                <w:szCs w:val="24"/>
                <w:lang w:val="en-US" w:eastAsia="zh-CN" w:bidi="ar-SA"/>
              </w:rPr>
              <w:t>业余训练精英教练经费</w:t>
            </w:r>
            <w:bookmarkEnd w:id="101"/>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仿宋_GB2312" w:hAnsi="Times New Roman" w:eastAsia="仿宋_GB2312" w:cs="Times New Roman"/>
                <w:b w:val="0"/>
                <w:bCs w:val="0"/>
                <w:kern w:val="2"/>
                <w:sz w:val="24"/>
                <w:szCs w:val="24"/>
                <w:lang w:val="en-US" w:eastAsia="zh-CN" w:bidi="ar-SA"/>
              </w:rPr>
            </w:pPr>
          </w:p>
        </w:tc>
        <w:tc>
          <w:tcPr>
            <w:tcW w:w="781" w:type="pct"/>
            <w:tcBorders>
              <w:top w:val="single" w:color="9BBB59" w:sz="8" w:space="0"/>
              <w:left w:val="single" w:color="9BBB59" w:sz="8" w:space="0"/>
              <w:bottom w:val="single" w:color="9BBB59" w:sz="8" w:space="0"/>
              <w:right w:val="single" w:color="9BBB59"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仿宋_GB2312" w:hAnsi="Times New Roman" w:eastAsia="仿宋_GB2312" w:cs="Times New Roman"/>
                <w:b w:val="0"/>
                <w:bCs w:val="0"/>
                <w:kern w:val="2"/>
                <w:sz w:val="24"/>
                <w:szCs w:val="24"/>
                <w:lang w:val="en-US" w:eastAsia="zh-CN" w:bidi="ar-SA"/>
              </w:rPr>
            </w:pPr>
            <w:r>
              <w:rPr>
                <w:rFonts w:hint="eastAsia" w:ascii="仿宋_GB2312" w:hAnsi="Times New Roman" w:eastAsia="仿宋_GB2312" w:cs="Times New Roman"/>
                <w:b w:val="0"/>
                <w:bCs w:val="0"/>
                <w:kern w:val="2"/>
                <w:sz w:val="24"/>
                <w:szCs w:val="24"/>
                <w:lang w:val="en-US" w:eastAsia="zh-CN" w:bidi="ar-SA"/>
              </w:rPr>
              <w:t>晋财综〔2020〕85号</w:t>
            </w:r>
          </w:p>
        </w:tc>
        <w:tc>
          <w:tcPr>
            <w:tcW w:w="449" w:type="pct"/>
            <w:tcBorders>
              <w:top w:val="single" w:color="9BBB59" w:sz="8" w:space="0"/>
              <w:left w:val="single" w:color="9BBB59" w:sz="8" w:space="0"/>
              <w:bottom w:val="single" w:color="9BBB59" w:sz="8" w:space="0"/>
              <w:right w:val="single" w:color="9BBB59"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仿宋_GB2312" w:hAnsi="Times New Roman" w:eastAsia="仿宋_GB2312" w:cs="Times New Roman"/>
                <w:b w:val="0"/>
                <w:bCs w:val="0"/>
                <w:kern w:val="2"/>
                <w:sz w:val="24"/>
                <w:szCs w:val="24"/>
                <w:lang w:val="en-US" w:eastAsia="zh-CN" w:bidi="ar-SA"/>
              </w:rPr>
            </w:pPr>
            <w:r>
              <w:rPr>
                <w:rFonts w:hint="eastAsia" w:ascii="仿宋_GB2312" w:hAnsi="Times New Roman" w:eastAsia="仿宋_GB2312" w:cs="Times New Roman"/>
                <w:b w:val="0"/>
                <w:bCs w:val="0"/>
                <w:kern w:val="2"/>
                <w:sz w:val="24"/>
                <w:szCs w:val="24"/>
                <w:lang w:val="en-US" w:eastAsia="zh-CN" w:bidi="ar-SA"/>
              </w:rPr>
              <w:t>山西省财政厅</w:t>
            </w:r>
          </w:p>
        </w:tc>
        <w:tc>
          <w:tcPr>
            <w:tcW w:w="1952" w:type="pct"/>
            <w:tcBorders>
              <w:top w:val="single" w:color="9BBB59" w:sz="8" w:space="0"/>
              <w:left w:val="single" w:color="9BBB59" w:sz="8" w:space="0"/>
              <w:bottom w:val="single" w:color="9BBB59" w:sz="8" w:space="0"/>
              <w:right w:val="single" w:color="9BBB59"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default" w:ascii="仿宋_GB2312" w:hAnsi="Times New Roman" w:eastAsia="仿宋_GB2312" w:cs="Times New Roman"/>
                <w:b w:val="0"/>
                <w:bCs w:val="0"/>
                <w:kern w:val="2"/>
                <w:sz w:val="24"/>
                <w:szCs w:val="24"/>
                <w:lang w:val="en-US" w:eastAsia="zh-CN" w:bidi="ar-SA"/>
              </w:rPr>
            </w:pPr>
            <w:r>
              <w:rPr>
                <w:rFonts w:hint="eastAsia" w:ascii="仿宋_GB2312" w:hAnsi="Times New Roman" w:eastAsia="仿宋_GB2312" w:cs="Times New Roman"/>
                <w:b w:val="0"/>
                <w:bCs w:val="0"/>
                <w:kern w:val="2"/>
                <w:sz w:val="24"/>
                <w:szCs w:val="24"/>
                <w:lang w:val="en-US" w:eastAsia="zh-CN" w:bidi="ar-SA"/>
              </w:rPr>
              <w:t>改善教练员办公条件，购置电脑及打印机。改善运动队训练条件，购置训器材等。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323" w:type="pct"/>
            <w:tcBorders>
              <w:top w:val="single" w:color="9BBB59" w:sz="8" w:space="0"/>
              <w:left w:val="single" w:color="9BBB59" w:sz="8" w:space="0"/>
              <w:bottom w:val="single" w:color="9BBB59" w:sz="8" w:space="0"/>
              <w:right w:val="single" w:color="9BBB59" w:sz="8" w:space="0"/>
            </w:tcBorders>
            <w:shd w:val="clear" w:color="auto" w:fill="EBF1DD"/>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仿宋_GB2312" w:hAnsi="Times New Roman" w:eastAsia="仿宋_GB2312" w:cs="Times New Roman"/>
                <w:b w:val="0"/>
                <w:bCs w:val="0"/>
                <w:kern w:val="2"/>
                <w:sz w:val="24"/>
                <w:szCs w:val="24"/>
                <w:lang w:val="en-US" w:eastAsia="zh-CN" w:bidi="ar-SA"/>
              </w:rPr>
            </w:pPr>
            <w:r>
              <w:rPr>
                <w:rFonts w:hint="eastAsia" w:ascii="仿宋_GB2312" w:hAnsi="Times New Roman" w:eastAsia="仿宋_GB2312" w:cs="Times New Roman"/>
                <w:b w:val="0"/>
                <w:bCs w:val="0"/>
                <w:kern w:val="2"/>
                <w:sz w:val="24"/>
                <w:szCs w:val="24"/>
                <w:lang w:val="en-US" w:eastAsia="zh-CN" w:bidi="ar-SA"/>
              </w:rPr>
              <w:t>2</w:t>
            </w:r>
          </w:p>
        </w:tc>
        <w:tc>
          <w:tcPr>
            <w:tcW w:w="1494" w:type="pct"/>
            <w:tcBorders>
              <w:top w:val="single" w:color="9BBB59" w:sz="8" w:space="0"/>
              <w:left w:val="single" w:color="9BBB59" w:sz="8" w:space="0"/>
              <w:bottom w:val="single" w:color="9BBB59" w:sz="8" w:space="0"/>
              <w:right w:val="single" w:color="9BBB59" w:sz="8" w:space="0"/>
            </w:tcBorders>
            <w:shd w:val="clear" w:color="auto" w:fill="EBF1DD"/>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仿宋_GB2312" w:hAnsi="Times New Roman" w:eastAsia="仿宋_GB2312" w:cs="Times New Roman"/>
                <w:b w:val="0"/>
                <w:bCs w:val="0"/>
                <w:kern w:val="2"/>
                <w:sz w:val="24"/>
                <w:szCs w:val="24"/>
                <w:lang w:val="en-US" w:eastAsia="zh-CN" w:bidi="ar-SA"/>
              </w:rPr>
            </w:pPr>
            <w:r>
              <w:rPr>
                <w:rFonts w:hint="eastAsia" w:ascii="仿宋_GB2312" w:hAnsi="Times New Roman" w:eastAsia="仿宋_GB2312" w:cs="Times New Roman"/>
                <w:b w:val="0"/>
                <w:bCs w:val="0"/>
                <w:kern w:val="2"/>
                <w:sz w:val="24"/>
                <w:szCs w:val="24"/>
                <w:lang w:val="en-US" w:eastAsia="zh-CN" w:bidi="ar-SA"/>
              </w:rPr>
              <w:t>国家体育总局资助青训中心建设经费</w:t>
            </w:r>
          </w:p>
        </w:tc>
        <w:tc>
          <w:tcPr>
            <w:tcW w:w="781" w:type="pct"/>
            <w:tcBorders>
              <w:top w:val="single" w:color="9BBB59" w:sz="8" w:space="0"/>
              <w:left w:val="single" w:color="9BBB59" w:sz="8" w:space="0"/>
              <w:bottom w:val="single" w:color="9BBB59" w:sz="8" w:space="0"/>
              <w:right w:val="single" w:color="9BBB59" w:sz="8" w:space="0"/>
            </w:tcBorders>
            <w:shd w:val="clear" w:color="auto" w:fill="EBF1DD"/>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仿宋_GB2312" w:hAnsi="Times New Roman" w:eastAsia="仿宋_GB2312" w:cs="Times New Roman"/>
                <w:b w:val="0"/>
                <w:bCs w:val="0"/>
                <w:kern w:val="2"/>
                <w:sz w:val="24"/>
                <w:szCs w:val="24"/>
                <w:lang w:val="en-US" w:eastAsia="zh-CN" w:bidi="ar-SA"/>
              </w:rPr>
            </w:pPr>
            <w:r>
              <w:rPr>
                <w:rFonts w:hint="eastAsia" w:ascii="仿宋_GB2312" w:hAnsi="Times New Roman" w:eastAsia="仿宋_GB2312" w:cs="Times New Roman"/>
                <w:b w:val="0"/>
                <w:bCs w:val="0"/>
                <w:kern w:val="2"/>
                <w:sz w:val="24"/>
                <w:szCs w:val="24"/>
                <w:lang w:val="en-US" w:eastAsia="zh-CN" w:bidi="ar-SA"/>
              </w:rPr>
              <w:t>晋财文〔2021〕67号</w:t>
            </w:r>
          </w:p>
        </w:tc>
        <w:tc>
          <w:tcPr>
            <w:tcW w:w="449" w:type="pct"/>
            <w:tcBorders>
              <w:top w:val="single" w:color="9BBB59" w:sz="8" w:space="0"/>
              <w:left w:val="single" w:color="9BBB59" w:sz="8" w:space="0"/>
              <w:bottom w:val="single" w:color="9BBB59" w:sz="8" w:space="0"/>
              <w:right w:val="single" w:color="9BBB59" w:sz="8" w:space="0"/>
            </w:tcBorders>
            <w:shd w:val="clear" w:color="auto" w:fill="EBF1DD"/>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仿宋_GB2312" w:hAnsi="Times New Roman" w:eastAsia="仿宋_GB2312" w:cs="Times New Roman"/>
                <w:b w:val="0"/>
                <w:bCs w:val="0"/>
                <w:kern w:val="2"/>
                <w:sz w:val="24"/>
                <w:szCs w:val="24"/>
                <w:lang w:val="en-US" w:eastAsia="zh-CN" w:bidi="ar-SA"/>
              </w:rPr>
            </w:pPr>
            <w:r>
              <w:rPr>
                <w:rFonts w:hint="eastAsia" w:ascii="仿宋_GB2312" w:hAnsi="Times New Roman" w:eastAsia="仿宋_GB2312" w:cs="Times New Roman"/>
                <w:b w:val="0"/>
                <w:bCs w:val="0"/>
                <w:kern w:val="2"/>
                <w:sz w:val="24"/>
                <w:szCs w:val="24"/>
                <w:lang w:val="en-US" w:eastAsia="zh-CN" w:bidi="ar-SA"/>
              </w:rPr>
              <w:t>山西省财政厅</w:t>
            </w:r>
          </w:p>
        </w:tc>
        <w:tc>
          <w:tcPr>
            <w:tcW w:w="1952" w:type="pct"/>
            <w:tcBorders>
              <w:top w:val="single" w:color="9BBB59" w:sz="8" w:space="0"/>
              <w:left w:val="single" w:color="9BBB59" w:sz="8" w:space="0"/>
              <w:bottom w:val="single" w:color="9BBB59" w:sz="8" w:space="0"/>
              <w:right w:val="single" w:color="9BBB59" w:sz="8" w:space="0"/>
            </w:tcBorders>
            <w:shd w:val="clear" w:color="auto" w:fill="EBF1DD"/>
            <w:noWrap w:val="0"/>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default" w:ascii="仿宋_GB2312" w:hAnsi="Times New Roman" w:eastAsia="仿宋_GB2312" w:cs="Times New Roman"/>
                <w:b w:val="0"/>
                <w:bCs w:val="0"/>
                <w:kern w:val="2"/>
                <w:sz w:val="24"/>
                <w:szCs w:val="24"/>
                <w:lang w:val="en-US" w:eastAsia="zh-CN" w:bidi="ar-SA"/>
              </w:rPr>
            </w:pPr>
            <w:r>
              <w:rPr>
                <w:rFonts w:hint="eastAsia" w:ascii="仿宋_GB2312" w:hAnsi="Times New Roman" w:eastAsia="仿宋_GB2312" w:cs="Times New Roman"/>
                <w:b w:val="0"/>
                <w:bCs w:val="0"/>
                <w:kern w:val="2"/>
                <w:sz w:val="24"/>
                <w:szCs w:val="24"/>
                <w:lang w:val="en-US" w:eastAsia="zh-CN" w:bidi="ar-SA"/>
              </w:rPr>
              <w:t>购置训练器材、青少年训练科研设备等。</w:t>
            </w:r>
          </w:p>
        </w:tc>
      </w:tr>
    </w:tbl>
    <w:p>
      <w:pPr>
        <w:outlineLvl w:val="9"/>
      </w:pP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uk-UA" w:bidi="ar-SA"/>
        </w:rPr>
      </w:pPr>
      <w:bookmarkStart w:id="102" w:name="_Toc13937"/>
      <w:bookmarkStart w:id="103" w:name="_Toc24599"/>
      <w:r>
        <w:rPr>
          <w:rFonts w:hint="eastAsia" w:ascii="仿宋_GB2312" w:hAnsi="Times New Roman" w:eastAsia="仿宋_GB2312" w:cs="Times New Roman"/>
          <w:b/>
          <w:bCs/>
          <w:kern w:val="2"/>
          <w:sz w:val="28"/>
          <w:szCs w:val="28"/>
          <w:lang w:val="en-US" w:eastAsia="uk-UA" w:bidi="ar-SA"/>
        </w:rPr>
        <w:t>4.</w:t>
      </w:r>
      <w:r>
        <w:rPr>
          <w:rFonts w:hint="eastAsia" w:ascii="仿宋_GB2312" w:hAnsi="Times New Roman" w:eastAsia="仿宋_GB2312" w:cs="Times New Roman"/>
          <w:b/>
          <w:bCs/>
          <w:kern w:val="2"/>
          <w:sz w:val="28"/>
          <w:szCs w:val="28"/>
          <w:lang w:val="en-US" w:eastAsia="zh-CN" w:bidi="ar-SA"/>
        </w:rPr>
        <w:t>2</w:t>
      </w:r>
      <w:r>
        <w:rPr>
          <w:rFonts w:hint="eastAsia" w:ascii="仿宋_GB2312" w:hAnsi="Times New Roman" w:eastAsia="仿宋_GB2312" w:cs="Times New Roman"/>
          <w:b/>
          <w:bCs/>
          <w:kern w:val="2"/>
          <w:sz w:val="28"/>
          <w:szCs w:val="28"/>
          <w:lang w:val="en-US" w:eastAsia="uk-UA" w:bidi="ar-SA"/>
        </w:rPr>
        <w:t>制度保障</w:t>
      </w:r>
      <w:bookmarkEnd w:id="102"/>
      <w:bookmarkEnd w:id="103"/>
      <w:r>
        <w:rPr>
          <w:rFonts w:hint="eastAsia" w:ascii="仿宋_GB2312" w:hAnsi="Times New Roman" w:eastAsia="仿宋_GB2312" w:cs="Times New Roman"/>
          <w:b/>
          <w:bCs/>
          <w:kern w:val="2"/>
          <w:sz w:val="28"/>
          <w:szCs w:val="28"/>
          <w:lang w:val="en-US" w:eastAsia="uk-UA" w:bidi="ar-SA"/>
        </w:rPr>
        <w:t xml:space="preserve">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学校具有优良的办学资质，严格按照国家的有关法律法规规范办学，民主管理，稳健运行。按照学校《章程》、《规章制度》，设立合理有效的领导队伍，制定部门职能，明确领导、管理及各职能部门职责任务，构建了规范、科学、高效的现代职业学校内部治理体系，造就了一支政治过硬、品德高尚、业务精湛、治校有方的管理队伍。各职能部门都设置了严格的管理制度和标准以及落实保障，形成了以制度管理人、以制度教育人的氛围，确保了学校秩序的正常运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uk-UA" w:bidi="ar-SA"/>
        </w:rPr>
      </w:pPr>
      <w:r>
        <w:rPr>
          <w:rFonts w:hint="eastAsia" w:ascii="仿宋_GB2312" w:hAnsi="Times New Roman" w:eastAsia="仿宋_GB2312" w:cs="Times New Roman"/>
          <w:b w:val="0"/>
          <w:bCs w:val="0"/>
          <w:kern w:val="2"/>
          <w:sz w:val="28"/>
          <w:szCs w:val="28"/>
          <w:lang w:val="en-US" w:eastAsia="zh-CN" w:bidi="ar-SA"/>
        </w:rPr>
        <w:t>1.</w:t>
      </w:r>
      <w:r>
        <w:rPr>
          <w:rFonts w:hint="eastAsia" w:ascii="仿宋_GB2312" w:hAnsi="Times New Roman" w:eastAsia="仿宋_GB2312" w:cs="Times New Roman"/>
          <w:b w:val="0"/>
          <w:bCs w:val="0"/>
          <w:kern w:val="2"/>
          <w:sz w:val="28"/>
          <w:szCs w:val="28"/>
          <w:lang w:val="en-US" w:eastAsia="uk-UA" w:bidi="ar-SA"/>
        </w:rPr>
        <w:t>教学管理制度</w:t>
      </w:r>
      <w:r>
        <w:rPr>
          <w:rFonts w:hint="eastAsia" w:ascii="仿宋_GB2312" w:hAnsi="Times New Roman" w:eastAsia="仿宋_GB2312" w:cs="Times New Roman"/>
          <w:b w:val="0"/>
          <w:bCs w:val="0"/>
          <w:kern w:val="2"/>
          <w:sz w:val="28"/>
          <w:szCs w:val="28"/>
          <w:lang w:val="en-US" w:eastAsia="zh-CN" w:bidi="ar-SA"/>
        </w:rPr>
        <w:t>：包括《教师政治理论学习制度》、《教师年度考核制度》、《教师出勤考核制度》、《教师业务学习制度》、《教师听课评课制度》、《教师教学检查制度》等。</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2.学生管理制度：包括《学生安全教育及管理规定》、《学生管理办法》、《学生干部职责》、《学生会工作制度》、《学生集体活动管理制度》、《学生奖惩条例》、《学生考勤制度》、《学生考试制度》、《学生社会实践管理办法》、《学生手机管理办法》、《学生守则》、《学生文明公约》、《学生学籍管理规定》、《学生意外伤害保险制度》、《学生用餐管理办法》等。</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3.财务管理制度：包括</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会计制度</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预算</w:t>
      </w:r>
      <w:r>
        <w:rPr>
          <w:rFonts w:hint="eastAsia" w:ascii="仿宋_GB2312" w:hAnsi="Times New Roman" w:eastAsia="仿宋_GB2312" w:cs="Times New Roman"/>
          <w:b w:val="0"/>
          <w:bCs w:val="0"/>
          <w:kern w:val="2"/>
          <w:sz w:val="28"/>
          <w:szCs w:val="28"/>
          <w:lang w:val="en-US" w:eastAsia="uk-UA" w:bidi="ar-SA"/>
        </w:rPr>
        <w:t>管理</w:t>
      </w:r>
      <w:r>
        <w:rPr>
          <w:rFonts w:hint="eastAsia" w:ascii="仿宋_GB2312" w:hAnsi="Times New Roman" w:eastAsia="仿宋_GB2312" w:cs="Times New Roman"/>
          <w:b w:val="0"/>
          <w:bCs w:val="0"/>
          <w:kern w:val="2"/>
          <w:sz w:val="28"/>
          <w:szCs w:val="28"/>
          <w:lang w:val="en-US" w:eastAsia="zh-CN" w:bidi="ar-SA"/>
        </w:rPr>
        <w:t>制度</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支出</w:t>
      </w:r>
      <w:r>
        <w:rPr>
          <w:rFonts w:hint="eastAsia" w:ascii="仿宋_GB2312" w:hAnsi="Times New Roman" w:eastAsia="仿宋_GB2312" w:cs="Times New Roman"/>
          <w:b w:val="0"/>
          <w:bCs w:val="0"/>
          <w:kern w:val="2"/>
          <w:sz w:val="28"/>
          <w:szCs w:val="28"/>
          <w:lang w:val="en-US" w:eastAsia="uk-UA" w:bidi="ar-SA"/>
        </w:rPr>
        <w:t>管理</w:t>
      </w:r>
      <w:r>
        <w:rPr>
          <w:rFonts w:hint="eastAsia" w:ascii="仿宋_GB2312" w:hAnsi="Times New Roman" w:eastAsia="仿宋_GB2312" w:cs="Times New Roman"/>
          <w:b w:val="0"/>
          <w:bCs w:val="0"/>
          <w:kern w:val="2"/>
          <w:sz w:val="28"/>
          <w:szCs w:val="28"/>
          <w:lang w:val="en-US" w:eastAsia="zh-CN" w:bidi="ar-SA"/>
        </w:rPr>
        <w:t>制度</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收入</w:t>
      </w:r>
      <w:r>
        <w:rPr>
          <w:rFonts w:hint="eastAsia" w:ascii="仿宋_GB2312" w:hAnsi="Times New Roman" w:eastAsia="仿宋_GB2312" w:cs="Times New Roman"/>
          <w:b w:val="0"/>
          <w:bCs w:val="0"/>
          <w:kern w:val="2"/>
          <w:sz w:val="28"/>
          <w:szCs w:val="28"/>
          <w:lang w:val="en-US" w:eastAsia="uk-UA" w:bidi="ar-SA"/>
        </w:rPr>
        <w:t>管理</w:t>
      </w:r>
      <w:r>
        <w:rPr>
          <w:rFonts w:hint="eastAsia" w:ascii="仿宋_GB2312" w:hAnsi="Times New Roman" w:eastAsia="仿宋_GB2312" w:cs="Times New Roman"/>
          <w:b w:val="0"/>
          <w:bCs w:val="0"/>
          <w:kern w:val="2"/>
          <w:sz w:val="28"/>
          <w:szCs w:val="28"/>
          <w:lang w:val="en-US" w:eastAsia="zh-CN" w:bidi="ar-SA"/>
        </w:rPr>
        <w:t>制度</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报销票据</w:t>
      </w:r>
      <w:r>
        <w:rPr>
          <w:rFonts w:hint="eastAsia" w:ascii="仿宋_GB2312" w:hAnsi="Times New Roman" w:eastAsia="仿宋_GB2312" w:cs="Times New Roman"/>
          <w:b w:val="0"/>
          <w:bCs w:val="0"/>
          <w:kern w:val="2"/>
          <w:sz w:val="28"/>
          <w:szCs w:val="28"/>
          <w:lang w:val="en-US" w:eastAsia="uk-UA" w:bidi="ar-SA"/>
        </w:rPr>
        <w:t>管理</w:t>
      </w:r>
      <w:r>
        <w:rPr>
          <w:rFonts w:hint="eastAsia" w:ascii="仿宋_GB2312" w:hAnsi="Times New Roman" w:eastAsia="仿宋_GB2312" w:cs="Times New Roman"/>
          <w:b w:val="0"/>
          <w:bCs w:val="0"/>
          <w:kern w:val="2"/>
          <w:sz w:val="28"/>
          <w:szCs w:val="28"/>
          <w:lang w:val="en-US" w:eastAsia="zh-CN" w:bidi="ar-SA"/>
        </w:rPr>
        <w:t>制度</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w:t>
      </w:r>
      <w:r>
        <w:rPr>
          <w:rFonts w:hint="eastAsia" w:ascii="仿宋_GB2312" w:hAnsi="Times New Roman" w:eastAsia="仿宋_GB2312" w:cs="Times New Roman"/>
          <w:b w:val="0"/>
          <w:bCs w:val="0"/>
          <w:kern w:val="2"/>
          <w:sz w:val="28"/>
          <w:szCs w:val="28"/>
          <w:lang w:val="en-US" w:eastAsia="uk-UA" w:bidi="ar-SA"/>
        </w:rPr>
        <w:t>《财务人员岗位职责》等一</w:t>
      </w:r>
      <w:r>
        <w:rPr>
          <w:rFonts w:hint="eastAsia" w:ascii="仿宋_GB2312" w:hAnsi="Times New Roman" w:eastAsia="仿宋_GB2312" w:cs="Times New Roman"/>
          <w:b w:val="0"/>
          <w:bCs w:val="0"/>
          <w:kern w:val="2"/>
          <w:sz w:val="28"/>
          <w:szCs w:val="28"/>
          <w:lang w:val="en-US" w:eastAsia="zh-CN" w:bidi="ar-SA"/>
        </w:rPr>
        <w:t>系</w:t>
      </w:r>
      <w:r>
        <w:rPr>
          <w:rFonts w:hint="eastAsia" w:ascii="仿宋_GB2312" w:hAnsi="Times New Roman" w:eastAsia="仿宋_GB2312" w:cs="Times New Roman"/>
          <w:b w:val="0"/>
          <w:bCs w:val="0"/>
          <w:kern w:val="2"/>
          <w:sz w:val="28"/>
          <w:szCs w:val="28"/>
          <w:lang w:val="en-US" w:eastAsia="uk-UA" w:bidi="ar-SA"/>
        </w:rPr>
        <w:t>列财务管理制度。</w:t>
      </w:r>
      <w:r>
        <w:rPr>
          <w:rFonts w:hint="eastAsia" w:ascii="仿宋_GB2312" w:hAnsi="Times New Roman" w:eastAsia="仿宋_GB2312" w:cs="Times New Roman"/>
          <w:b w:val="0"/>
          <w:bCs w:val="0"/>
          <w:kern w:val="2"/>
          <w:sz w:val="28"/>
          <w:szCs w:val="28"/>
          <w:lang w:val="en-US" w:eastAsia="zh-CN" w:bidi="ar-SA"/>
        </w:rPr>
        <w:t>同时设置有</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申请经费计划审批流程图</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财务费用报销流程图</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等。</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ascii="仿宋_GB2312" w:hAnsi="Times New Roman" w:eastAsia="仿宋_GB2312" w:cs="Times New Roman"/>
          <w:b w:val="0"/>
          <w:bCs w:val="0"/>
          <w:kern w:val="2"/>
          <w:sz w:val="28"/>
          <w:szCs w:val="28"/>
          <w:lang w:val="en-US" w:eastAsia="zh-CN" w:bidi="ar-SA"/>
        </w:rPr>
        <w:t>4、安全管理制度：包括《门卫管理制度》、《消防安全管理制度》、</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《运动枪弹库管理制度》、《学校应急安全管理制度》、《节假日值班制度》等。</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uk-UA" w:bidi="ar-SA"/>
        </w:rPr>
      </w:pPr>
      <w:bookmarkStart w:id="104" w:name="_Toc11518"/>
      <w:bookmarkStart w:id="105" w:name="_Toc6250"/>
      <w:r>
        <w:rPr>
          <w:rFonts w:hint="eastAsia" w:ascii="仿宋_GB2312" w:hAnsi="Times New Roman" w:eastAsia="仿宋_GB2312" w:cs="Times New Roman"/>
          <w:b/>
          <w:bCs/>
          <w:kern w:val="2"/>
          <w:sz w:val="28"/>
          <w:szCs w:val="28"/>
          <w:lang w:val="en-US" w:eastAsia="uk-UA" w:bidi="ar-SA"/>
        </w:rPr>
        <w:t>4.</w:t>
      </w:r>
      <w:r>
        <w:rPr>
          <w:rFonts w:hint="eastAsia" w:ascii="仿宋_GB2312" w:hAnsi="Times New Roman" w:eastAsia="仿宋_GB2312" w:cs="Times New Roman"/>
          <w:b/>
          <w:bCs/>
          <w:kern w:val="2"/>
          <w:sz w:val="28"/>
          <w:szCs w:val="28"/>
          <w:lang w:val="en-US" w:eastAsia="zh-CN" w:bidi="ar-SA"/>
        </w:rPr>
        <w:t>3</w:t>
      </w:r>
      <w:r>
        <w:rPr>
          <w:rFonts w:hint="eastAsia" w:ascii="仿宋_GB2312" w:hAnsi="Times New Roman" w:eastAsia="仿宋_GB2312" w:cs="Times New Roman"/>
          <w:b/>
          <w:bCs/>
          <w:kern w:val="2"/>
          <w:sz w:val="28"/>
          <w:szCs w:val="28"/>
          <w:lang w:val="en-US" w:eastAsia="uk-UA" w:bidi="ar-SA"/>
        </w:rPr>
        <w:t xml:space="preserve"> 内部质量保障体系建设</w:t>
      </w:r>
      <w:bookmarkEnd w:id="104"/>
      <w:bookmarkEnd w:id="105"/>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uk-UA" w:bidi="ar-SA"/>
        </w:rPr>
      </w:pPr>
      <w:bookmarkStart w:id="106" w:name="_Toc28110"/>
      <w:bookmarkStart w:id="107" w:name="_Toc17643"/>
      <w:r>
        <w:rPr>
          <w:rFonts w:hint="eastAsia" w:ascii="仿宋_GB2312" w:hAnsi="Times New Roman" w:eastAsia="仿宋_GB2312" w:cs="Times New Roman"/>
          <w:b/>
          <w:bCs/>
          <w:kern w:val="2"/>
          <w:sz w:val="28"/>
          <w:szCs w:val="28"/>
          <w:lang w:val="en-US" w:eastAsia="uk-UA" w:bidi="ar-SA"/>
        </w:rPr>
        <w:t>4.</w:t>
      </w:r>
      <w:r>
        <w:rPr>
          <w:rFonts w:hint="eastAsia" w:ascii="仿宋_GB2312" w:hAnsi="Times New Roman" w:eastAsia="仿宋_GB2312" w:cs="Times New Roman"/>
          <w:b/>
          <w:bCs/>
          <w:kern w:val="2"/>
          <w:sz w:val="28"/>
          <w:szCs w:val="28"/>
          <w:lang w:val="en-US" w:eastAsia="zh-CN" w:bidi="ar-SA"/>
        </w:rPr>
        <w:t>3</w:t>
      </w:r>
      <w:r>
        <w:rPr>
          <w:rFonts w:hint="eastAsia" w:ascii="仿宋_GB2312" w:hAnsi="Times New Roman" w:eastAsia="仿宋_GB2312" w:cs="Times New Roman"/>
          <w:b/>
          <w:bCs/>
          <w:kern w:val="2"/>
          <w:sz w:val="28"/>
          <w:szCs w:val="28"/>
          <w:lang w:val="en-US" w:eastAsia="uk-UA" w:bidi="ar-SA"/>
        </w:rPr>
        <w:t>.1教学保障体系</w:t>
      </w:r>
      <w:bookmarkEnd w:id="106"/>
      <w:bookmarkEnd w:id="107"/>
    </w:p>
    <w:p>
      <w:pPr>
        <w:ind w:firstLine="560" w:firstLineChars="200"/>
        <w:rPr>
          <w:rFonts w:hint="eastAsia" w:ascii="仿宋_GB2312" w:hAnsi="Times New Roman" w:eastAsia="仿宋_GB2312" w:cs="Times New Roman"/>
          <w:b w:val="0"/>
          <w:bCs w:val="0"/>
          <w:kern w:val="2"/>
          <w:sz w:val="28"/>
          <w:szCs w:val="28"/>
          <w:lang w:val="en-US" w:eastAsia="uk-UA" w:bidi="ar-SA"/>
        </w:rPr>
      </w:pPr>
      <w:r>
        <w:rPr>
          <w:rFonts w:hint="eastAsia" w:ascii="仿宋_GB2312" w:hAnsi="Times New Roman" w:eastAsia="仿宋_GB2312" w:cs="Times New Roman"/>
          <w:b w:val="0"/>
          <w:bCs w:val="0"/>
          <w:kern w:val="2"/>
          <w:sz w:val="28"/>
          <w:szCs w:val="28"/>
          <w:lang w:val="en-US" w:eastAsia="zh-CN" w:bidi="ar-SA"/>
        </w:rPr>
        <w:t>学校</w:t>
      </w:r>
      <w:r>
        <w:rPr>
          <w:rFonts w:hint="eastAsia" w:ascii="仿宋_GB2312" w:hAnsi="Times New Roman" w:eastAsia="仿宋_GB2312" w:cs="Times New Roman"/>
          <w:b w:val="0"/>
          <w:bCs w:val="0"/>
          <w:kern w:val="2"/>
          <w:sz w:val="28"/>
          <w:szCs w:val="28"/>
          <w:lang w:val="en-US" w:eastAsia="uk-UA" w:bidi="ar-SA"/>
        </w:rPr>
        <w:t>开设的</w:t>
      </w:r>
      <w:r>
        <w:rPr>
          <w:rFonts w:hint="eastAsia" w:ascii="仿宋_GB2312" w:hAnsi="Times New Roman" w:eastAsia="仿宋_GB2312" w:cs="Times New Roman"/>
          <w:b w:val="0"/>
          <w:bCs w:val="0"/>
          <w:kern w:val="2"/>
          <w:sz w:val="28"/>
          <w:szCs w:val="28"/>
          <w:lang w:val="en-US" w:eastAsia="zh-CN" w:bidi="ar-SA"/>
        </w:rPr>
        <w:t>运动训练专业共有18</w:t>
      </w:r>
      <w:r>
        <w:rPr>
          <w:rFonts w:hint="eastAsia" w:ascii="仿宋_GB2312" w:hAnsi="Times New Roman" w:eastAsia="仿宋_GB2312" w:cs="Times New Roman"/>
          <w:b w:val="0"/>
          <w:bCs w:val="0"/>
          <w:kern w:val="2"/>
          <w:sz w:val="28"/>
          <w:szCs w:val="28"/>
          <w:lang w:val="en-US" w:eastAsia="uk-UA" w:bidi="ar-SA"/>
        </w:rPr>
        <w:t>个</w:t>
      </w:r>
      <w:r>
        <w:rPr>
          <w:rFonts w:hint="eastAsia" w:ascii="仿宋_GB2312" w:hAnsi="Times New Roman" w:eastAsia="仿宋_GB2312" w:cs="Times New Roman"/>
          <w:b w:val="0"/>
          <w:bCs w:val="0"/>
          <w:kern w:val="2"/>
          <w:sz w:val="28"/>
          <w:szCs w:val="28"/>
          <w:lang w:val="en-US" w:eastAsia="zh-CN" w:bidi="ar-SA"/>
        </w:rPr>
        <w:t>运动项目</w:t>
      </w:r>
      <w:r>
        <w:rPr>
          <w:rFonts w:hint="eastAsia" w:ascii="仿宋_GB2312" w:hAnsi="Times New Roman" w:eastAsia="仿宋_GB2312" w:cs="Times New Roman"/>
          <w:b w:val="0"/>
          <w:bCs w:val="0"/>
          <w:kern w:val="2"/>
          <w:sz w:val="28"/>
          <w:szCs w:val="28"/>
          <w:lang w:val="en-US" w:eastAsia="uk-UA" w:bidi="ar-SA"/>
        </w:rPr>
        <w:t>，均严格执行</w:t>
      </w:r>
      <w:r>
        <w:rPr>
          <w:rFonts w:hint="eastAsia" w:ascii="仿宋_GB2312" w:hAnsi="Times New Roman" w:eastAsia="仿宋_GB2312" w:cs="Times New Roman"/>
          <w:b w:val="0"/>
          <w:bCs w:val="0"/>
          <w:kern w:val="2"/>
          <w:sz w:val="28"/>
          <w:szCs w:val="28"/>
          <w:lang w:val="en-US" w:eastAsia="zh-CN" w:bidi="ar-SA"/>
        </w:rPr>
        <w:t>山西省体育局科教处编写的</w:t>
      </w:r>
      <w:r>
        <w:rPr>
          <w:rFonts w:hint="eastAsia" w:ascii="仿宋_GB2312" w:hAnsi="Times New Roman" w:eastAsia="仿宋_GB2312" w:cs="Times New Roman"/>
          <w:b w:val="0"/>
          <w:bCs w:val="0"/>
          <w:kern w:val="2"/>
          <w:sz w:val="28"/>
          <w:szCs w:val="28"/>
          <w:lang w:val="en-US" w:eastAsia="uk-UA" w:bidi="ar-SA"/>
        </w:rPr>
        <w:t>教学标准，课程设置、专业实训条件、教师配置、图书等均达到标准。</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uk-UA" w:bidi="ar-SA"/>
        </w:rPr>
      </w:pPr>
      <w:bookmarkStart w:id="108" w:name="_Toc14569"/>
      <w:bookmarkStart w:id="109" w:name="_Toc6381"/>
      <w:r>
        <w:rPr>
          <w:rFonts w:hint="eastAsia" w:ascii="仿宋_GB2312" w:hAnsi="Times New Roman" w:eastAsia="仿宋_GB2312" w:cs="Times New Roman"/>
          <w:b/>
          <w:bCs/>
          <w:kern w:val="2"/>
          <w:sz w:val="28"/>
          <w:szCs w:val="28"/>
          <w:lang w:val="en-US" w:eastAsia="uk-UA" w:bidi="ar-SA"/>
        </w:rPr>
        <w:t>4.</w:t>
      </w:r>
      <w:r>
        <w:rPr>
          <w:rFonts w:hint="eastAsia" w:ascii="仿宋_GB2312" w:hAnsi="Times New Roman" w:eastAsia="仿宋_GB2312" w:cs="Times New Roman"/>
          <w:b/>
          <w:bCs/>
          <w:kern w:val="2"/>
          <w:sz w:val="28"/>
          <w:szCs w:val="28"/>
          <w:lang w:val="en-US" w:eastAsia="zh-CN" w:bidi="ar-SA"/>
        </w:rPr>
        <w:t>3</w:t>
      </w:r>
      <w:r>
        <w:rPr>
          <w:rFonts w:hint="eastAsia" w:ascii="仿宋_GB2312" w:hAnsi="Times New Roman" w:eastAsia="仿宋_GB2312" w:cs="Times New Roman"/>
          <w:b/>
          <w:bCs/>
          <w:kern w:val="2"/>
          <w:sz w:val="28"/>
          <w:szCs w:val="28"/>
          <w:lang w:val="en-US" w:eastAsia="uk-UA" w:bidi="ar-SA"/>
        </w:rPr>
        <w:t>.2学生管理保障体系</w:t>
      </w:r>
      <w:bookmarkEnd w:id="108"/>
      <w:bookmarkEnd w:id="109"/>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1、实行逐级管理模式细微化。学校坚持以“教育育人、管理育人、服务育人”为宗旨，通过学生科、教练、班主任、任课教师、公寓教官、保安等逐级对学生进行日常管理，学校每日安排值班人员对学生进行管理。学校读训并重，在保证运动员文化教育同时，科学训练，提高学习、训练成绩，保证学生的合理科学发展。充分发挥学生干部的优势，积极主动配合并参与管理工作。</w:t>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2、学生公寓实行军事化管理。2019年学校签约大同广瑞翔文化传媒有限公司，对公寓全面管理，巡查学生在校园内的一切不文明行为，帮助学生养成良好习惯。大同广瑞翔文化传媒有限公司在我校开展工作是在学生科的指导、监督、配合下进行的，他们的工作兢兢业业，一丝不苟，真正把军人特有的品质融入到了学生行为习惯的养成中，公寓及日常管理效果明显提升。</w:t>
      </w:r>
    </w:p>
    <w:p>
      <w:pPr>
        <w:widowControl/>
        <w:rPr>
          <w:rFonts w:ascii="宋体" w:hAnsi="宋体" w:cs="宋体"/>
          <w:color w:val="FF0000"/>
          <w:sz w:val="28"/>
        </w:rPr>
      </w:pPr>
      <w:r>
        <w:rPr>
          <w:rFonts w:hint="eastAsia" w:ascii="宋体" w:hAnsi="宋体" w:cs="宋体"/>
          <w:color w:val="FF0000"/>
          <w:sz w:val="28"/>
        </w:rPr>
        <w:drawing>
          <wp:inline distT="0" distB="0" distL="114300" distR="114300">
            <wp:extent cx="2521585" cy="1678940"/>
            <wp:effectExtent l="0" t="0" r="12065" b="16510"/>
            <wp:docPr id="12"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1"/>
                    <pic:cNvPicPr>
                      <a:picLocks noChangeAspect="1"/>
                    </pic:cNvPicPr>
                  </pic:nvPicPr>
                  <pic:blipFill>
                    <a:blip r:embed="rId52" cstate="print"/>
                    <a:stretch>
                      <a:fillRect/>
                    </a:stretch>
                  </pic:blipFill>
                  <pic:spPr>
                    <a:xfrm>
                      <a:off x="0" y="0"/>
                      <a:ext cx="2521585" cy="1678940"/>
                    </a:xfrm>
                    <a:prstGeom prst="rect">
                      <a:avLst/>
                    </a:prstGeom>
                    <a:noFill/>
                    <a:ln>
                      <a:noFill/>
                    </a:ln>
                  </pic:spPr>
                </pic:pic>
              </a:graphicData>
            </a:graphic>
          </wp:inline>
        </w:drawing>
      </w:r>
      <w:r>
        <w:rPr>
          <w:rFonts w:hint="eastAsia" w:ascii="宋体" w:hAnsi="宋体" w:cs="宋体"/>
          <w:color w:val="FF0000"/>
          <w:sz w:val="28"/>
          <w:lang w:val="en-US" w:eastAsia="zh-CN"/>
        </w:rPr>
        <w:t xml:space="preserve"> </w:t>
      </w:r>
      <w:r>
        <w:rPr>
          <w:rFonts w:ascii="宋体" w:hAnsi="宋体" w:cs="宋体"/>
          <w:color w:val="FF0000"/>
          <w:sz w:val="28"/>
        </w:rPr>
        <w:drawing>
          <wp:inline distT="0" distB="0" distL="114300" distR="114300">
            <wp:extent cx="2597150" cy="1685925"/>
            <wp:effectExtent l="0" t="0" r="12700" b="9525"/>
            <wp:docPr id="180" name="图片 16" descr="微信图片_2021111217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6" descr="微信图片_20211112174613"/>
                    <pic:cNvPicPr>
                      <a:picLocks noChangeAspect="1"/>
                    </pic:cNvPicPr>
                  </pic:nvPicPr>
                  <pic:blipFill>
                    <a:blip r:embed="rId53">
                      <a:lum bright="17999" contrast="12000"/>
                    </a:blip>
                    <a:stretch>
                      <a:fillRect/>
                    </a:stretch>
                  </pic:blipFill>
                  <pic:spPr>
                    <a:xfrm>
                      <a:off x="0" y="0"/>
                      <a:ext cx="2597150" cy="1685925"/>
                    </a:xfrm>
                    <a:prstGeom prst="rect">
                      <a:avLst/>
                    </a:prstGeom>
                    <a:noFill/>
                    <a:ln>
                      <a:noFill/>
                    </a:ln>
                  </pic:spPr>
                </pic:pic>
              </a:graphicData>
            </a:graphic>
          </wp:inline>
        </w:drawing>
      </w:r>
    </w:p>
    <w:p>
      <w:pPr>
        <w:widowControl/>
        <w:ind w:firstLine="1400" w:firstLineChars="500"/>
        <w:rPr>
          <w:rFonts w:ascii="仿宋_GB2312" w:hAnsi="仿宋_GB2312" w:eastAsia="仿宋_GB2312" w:cs="仿宋_GB2312"/>
          <w:b w:val="0"/>
          <w:bCs w:val="0"/>
          <w:kern w:val="0"/>
          <w:sz w:val="28"/>
          <w:szCs w:val="28"/>
        </w:rPr>
      </w:pPr>
      <w:r>
        <w:rPr>
          <w:rFonts w:hint="eastAsia" w:ascii="仿宋_GB2312" w:hAnsi="仿宋_GB2312" w:eastAsia="仿宋_GB2312" w:cs="仿宋_GB2312"/>
          <w:b w:val="0"/>
          <w:bCs w:val="0"/>
          <w:kern w:val="0"/>
          <w:sz w:val="28"/>
          <w:szCs w:val="28"/>
        </w:rPr>
        <w:t xml:space="preserve">学生宿舍              </w:t>
      </w:r>
      <w:r>
        <w:rPr>
          <w:rFonts w:hint="eastAsia" w:ascii="仿宋_GB2312" w:hAnsi="仿宋_GB2312" w:eastAsia="仿宋_GB2312" w:cs="仿宋_GB2312"/>
          <w:b w:val="0"/>
          <w:bCs w:val="0"/>
          <w:kern w:val="0"/>
          <w:sz w:val="28"/>
          <w:szCs w:val="28"/>
          <w:lang w:val="en-US" w:eastAsia="zh-CN"/>
        </w:rPr>
        <w:t xml:space="preserve">      </w:t>
      </w:r>
      <w:r>
        <w:rPr>
          <w:rFonts w:hint="eastAsia" w:ascii="仿宋_GB2312" w:hAnsi="仿宋_GB2312" w:eastAsia="仿宋_GB2312" w:cs="仿宋_GB2312"/>
          <w:b w:val="0"/>
          <w:bCs w:val="0"/>
          <w:kern w:val="0"/>
          <w:sz w:val="28"/>
          <w:szCs w:val="28"/>
        </w:rPr>
        <w:t>教官检查内务</w:t>
      </w:r>
    </w:p>
    <w:p>
      <w:pPr>
        <w:pStyle w:val="3"/>
        <w:keepNext/>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uk-UA" w:bidi="ar-SA"/>
        </w:rPr>
      </w:pPr>
      <w:bookmarkStart w:id="110" w:name="_Toc17018"/>
      <w:bookmarkStart w:id="111" w:name="_Toc32306"/>
      <w:r>
        <w:rPr>
          <w:rFonts w:hint="eastAsia" w:ascii="仿宋_GB2312" w:hAnsi="Times New Roman" w:eastAsia="仿宋_GB2312" w:cs="Times New Roman"/>
          <w:b/>
          <w:bCs/>
          <w:kern w:val="2"/>
          <w:sz w:val="28"/>
          <w:szCs w:val="28"/>
          <w:lang w:val="en-US" w:eastAsia="uk-UA" w:bidi="ar-SA"/>
        </w:rPr>
        <w:t>4.</w:t>
      </w:r>
      <w:r>
        <w:rPr>
          <w:rFonts w:hint="eastAsia" w:ascii="仿宋_GB2312" w:hAnsi="Times New Roman" w:eastAsia="仿宋_GB2312" w:cs="Times New Roman"/>
          <w:b/>
          <w:bCs/>
          <w:kern w:val="2"/>
          <w:sz w:val="28"/>
          <w:szCs w:val="28"/>
          <w:lang w:val="en-US" w:eastAsia="zh-CN" w:bidi="ar-SA"/>
        </w:rPr>
        <w:t>3</w:t>
      </w:r>
      <w:r>
        <w:rPr>
          <w:rFonts w:hint="eastAsia" w:ascii="仿宋_GB2312" w:hAnsi="Times New Roman" w:eastAsia="仿宋_GB2312" w:cs="Times New Roman"/>
          <w:b/>
          <w:bCs/>
          <w:kern w:val="2"/>
          <w:sz w:val="28"/>
          <w:szCs w:val="28"/>
          <w:lang w:val="en-US" w:eastAsia="uk-UA" w:bidi="ar-SA"/>
        </w:rPr>
        <w:t>.3后勤管理保障体系</w:t>
      </w:r>
      <w:bookmarkEnd w:id="110"/>
      <w:bookmarkEnd w:id="111"/>
      <w:r>
        <w:rPr>
          <w:rFonts w:hint="eastAsia" w:ascii="仿宋_GB2312" w:hAnsi="Times New Roman" w:eastAsia="仿宋_GB2312" w:cs="Times New Roman"/>
          <w:b/>
          <w:bCs/>
          <w:kern w:val="2"/>
          <w:sz w:val="28"/>
          <w:szCs w:val="28"/>
          <w:lang w:val="en-US" w:eastAsia="uk-UA" w:bidi="ar-SA"/>
        </w:rPr>
        <w:t xml:space="preserve"> </w:t>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严格执行学校的“五个一”常规管理工作要求，以“全心全意为师生服务”作为宗旨意识。</w:t>
      </w:r>
      <w:r>
        <w:rPr>
          <w:rFonts w:hint="eastAsia" w:ascii="仿宋_GB2312" w:hAnsi="Times New Roman" w:eastAsia="仿宋_GB2312" w:cs="Times New Roman"/>
          <w:b w:val="0"/>
          <w:bCs w:val="0"/>
          <w:kern w:val="2"/>
          <w:sz w:val="28"/>
          <w:szCs w:val="28"/>
          <w:lang w:val="en-US" w:eastAsia="uk-UA" w:bidi="ar-SA"/>
        </w:rPr>
        <w:t>秉持</w:t>
      </w:r>
      <w:r>
        <w:rPr>
          <w:rFonts w:hint="eastAsia" w:ascii="仿宋_GB2312" w:hAnsi="Times New Roman" w:eastAsia="仿宋_GB2312" w:cs="Times New Roman"/>
          <w:b w:val="0"/>
          <w:bCs w:val="0"/>
          <w:kern w:val="2"/>
          <w:sz w:val="28"/>
          <w:szCs w:val="28"/>
          <w:lang w:val="en-US" w:eastAsia="zh-CN" w:bidi="ar-SA"/>
        </w:rPr>
        <w:t>教育</w:t>
      </w:r>
      <w:r>
        <w:rPr>
          <w:rFonts w:hint="eastAsia" w:ascii="仿宋_GB2312" w:hAnsi="Times New Roman" w:eastAsia="仿宋_GB2312" w:cs="Times New Roman"/>
          <w:b w:val="0"/>
          <w:bCs w:val="0"/>
          <w:kern w:val="2"/>
          <w:sz w:val="28"/>
          <w:szCs w:val="28"/>
          <w:lang w:val="en-US" w:eastAsia="uk-UA" w:bidi="ar-SA"/>
        </w:rPr>
        <w:t>育人、</w:t>
      </w:r>
      <w:r>
        <w:rPr>
          <w:rFonts w:hint="eastAsia" w:ascii="仿宋_GB2312" w:hAnsi="Times New Roman" w:eastAsia="仿宋_GB2312" w:cs="Times New Roman"/>
          <w:b w:val="0"/>
          <w:bCs w:val="0"/>
          <w:kern w:val="2"/>
          <w:sz w:val="28"/>
          <w:szCs w:val="28"/>
          <w:lang w:val="en-US" w:eastAsia="zh-CN" w:bidi="ar-SA"/>
        </w:rPr>
        <w:t>管理</w:t>
      </w:r>
      <w:r>
        <w:rPr>
          <w:rFonts w:hint="eastAsia" w:ascii="仿宋_GB2312" w:hAnsi="Times New Roman" w:eastAsia="仿宋_GB2312" w:cs="Times New Roman"/>
          <w:b w:val="0"/>
          <w:bCs w:val="0"/>
          <w:kern w:val="2"/>
          <w:sz w:val="28"/>
          <w:szCs w:val="28"/>
          <w:lang w:val="en-US" w:eastAsia="uk-UA" w:bidi="ar-SA"/>
        </w:rPr>
        <w:t>育人、</w:t>
      </w:r>
      <w:r>
        <w:rPr>
          <w:rFonts w:hint="eastAsia" w:ascii="仿宋_GB2312" w:hAnsi="Times New Roman" w:eastAsia="仿宋_GB2312" w:cs="Times New Roman"/>
          <w:b w:val="0"/>
          <w:bCs w:val="0"/>
          <w:kern w:val="2"/>
          <w:sz w:val="28"/>
          <w:szCs w:val="28"/>
          <w:lang w:val="en-US" w:eastAsia="zh-CN" w:bidi="ar-SA"/>
        </w:rPr>
        <w:t>服务</w:t>
      </w:r>
      <w:r>
        <w:rPr>
          <w:rFonts w:hint="eastAsia" w:ascii="仿宋_GB2312" w:hAnsi="Times New Roman" w:eastAsia="仿宋_GB2312" w:cs="Times New Roman"/>
          <w:b w:val="0"/>
          <w:bCs w:val="0"/>
          <w:kern w:val="2"/>
          <w:sz w:val="28"/>
          <w:szCs w:val="28"/>
          <w:lang w:val="en-US" w:eastAsia="uk-UA" w:bidi="ar-SA"/>
        </w:rPr>
        <w:t>育人的服务理念，</w:t>
      </w:r>
      <w:r>
        <w:rPr>
          <w:rFonts w:hint="eastAsia" w:ascii="仿宋_GB2312" w:hAnsi="Times New Roman" w:eastAsia="仿宋_GB2312" w:cs="Times New Roman"/>
          <w:b w:val="0"/>
          <w:bCs w:val="0"/>
          <w:kern w:val="2"/>
          <w:sz w:val="28"/>
          <w:szCs w:val="28"/>
          <w:lang w:val="en-US" w:eastAsia="zh-CN" w:bidi="ar-SA"/>
        </w:rPr>
        <w:t>全力</w:t>
      </w:r>
      <w:r>
        <w:rPr>
          <w:rFonts w:hint="eastAsia" w:ascii="仿宋_GB2312" w:hAnsi="Times New Roman" w:eastAsia="仿宋_GB2312" w:cs="Times New Roman"/>
          <w:b w:val="0"/>
          <w:bCs w:val="0"/>
          <w:kern w:val="2"/>
          <w:sz w:val="28"/>
          <w:szCs w:val="28"/>
          <w:lang w:val="en-US" w:eastAsia="uk-UA" w:bidi="ar-SA"/>
        </w:rPr>
        <w:t>做好后勤服务</w:t>
      </w:r>
      <w:r>
        <w:rPr>
          <w:rFonts w:hint="eastAsia" w:ascii="仿宋_GB2312" w:hAnsi="Times New Roman" w:eastAsia="仿宋_GB2312" w:cs="Times New Roman"/>
          <w:b w:val="0"/>
          <w:bCs w:val="0"/>
          <w:kern w:val="2"/>
          <w:sz w:val="28"/>
          <w:szCs w:val="28"/>
          <w:lang w:val="en-US" w:eastAsia="zh-CN" w:bidi="ar-SA"/>
        </w:rPr>
        <w:t>保障</w:t>
      </w:r>
      <w:r>
        <w:rPr>
          <w:rFonts w:hint="eastAsia" w:ascii="仿宋_GB2312" w:hAnsi="Times New Roman" w:eastAsia="仿宋_GB2312" w:cs="Times New Roman"/>
          <w:b w:val="0"/>
          <w:bCs w:val="0"/>
          <w:kern w:val="2"/>
          <w:sz w:val="28"/>
          <w:szCs w:val="28"/>
          <w:lang w:val="en-US" w:eastAsia="uk-UA" w:bidi="ar-SA"/>
        </w:rPr>
        <w:t>工作。</w:t>
      </w:r>
      <w:r>
        <w:rPr>
          <w:rFonts w:hint="eastAsia" w:ascii="仿宋_GB2312" w:hAnsi="Times New Roman" w:eastAsia="仿宋_GB2312" w:cs="Times New Roman"/>
          <w:b w:val="0"/>
          <w:bCs w:val="0"/>
          <w:kern w:val="2"/>
          <w:sz w:val="28"/>
          <w:szCs w:val="28"/>
          <w:lang w:val="en-US" w:eastAsia="zh-CN" w:bidi="ar-SA"/>
        </w:rPr>
        <w:t>后勤人员严格履行岗位职责, 坚持精细化管理，坚持从实际出发的科学性原则,坚持勤俭节约，廉洁奉公的原则，为教学训练提供有力的后勤保障。</w:t>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物资采购领用，资产管理，水电气暖供应，校内维修等都有完善的管理制度，并有专人负责。严格执行</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政府采购法</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w:t>
      </w:r>
      <w:r>
        <w:rPr>
          <w:rFonts w:hint="eastAsia" w:ascii="仿宋_GB2312" w:hAnsi="Times New Roman" w:eastAsia="仿宋_GB2312" w:cs="Times New Roman"/>
          <w:b w:val="0"/>
          <w:bCs w:val="0"/>
          <w:kern w:val="2"/>
          <w:sz w:val="28"/>
          <w:szCs w:val="28"/>
          <w:lang w:val="en-US" w:eastAsia="uk-UA" w:bidi="ar-SA"/>
        </w:rPr>
        <w:t>在招标采购中，按照政府集中采购目录要求和学校采购招标的内控机制，严格履行采购招标制度</w:t>
      </w:r>
      <w:r>
        <w:rPr>
          <w:rFonts w:hint="eastAsia" w:ascii="仿宋_GB2312" w:hAnsi="Times New Roman" w:eastAsia="仿宋_GB2312" w:cs="Times New Roman"/>
          <w:b w:val="0"/>
          <w:bCs w:val="0"/>
          <w:kern w:val="2"/>
          <w:sz w:val="28"/>
          <w:szCs w:val="28"/>
          <w:lang w:val="en-US" w:eastAsia="zh-CN" w:bidi="ar-SA"/>
        </w:rPr>
        <w:t>。</w:t>
      </w:r>
      <w:r>
        <w:rPr>
          <w:rFonts w:hint="eastAsia" w:ascii="仿宋_GB2312" w:hAnsi="Times New Roman" w:eastAsia="仿宋_GB2312" w:cs="Times New Roman"/>
          <w:b w:val="0"/>
          <w:bCs w:val="0"/>
          <w:kern w:val="2"/>
          <w:sz w:val="28"/>
          <w:szCs w:val="28"/>
          <w:lang w:val="en-US" w:eastAsia="uk-UA" w:bidi="ar-SA"/>
        </w:rPr>
        <w:t>固定资产</w:t>
      </w:r>
      <w:r>
        <w:rPr>
          <w:rFonts w:hint="eastAsia" w:ascii="仿宋_GB2312" w:hAnsi="Times New Roman" w:eastAsia="仿宋_GB2312" w:cs="Times New Roman"/>
          <w:b w:val="0"/>
          <w:bCs w:val="0"/>
          <w:kern w:val="2"/>
          <w:sz w:val="28"/>
          <w:szCs w:val="28"/>
          <w:lang w:val="en-US" w:eastAsia="zh-CN" w:bidi="ar-SA"/>
        </w:rPr>
        <w:t>设置专人</w:t>
      </w:r>
      <w:r>
        <w:rPr>
          <w:rFonts w:hint="eastAsia" w:ascii="仿宋_GB2312" w:hAnsi="Times New Roman" w:eastAsia="仿宋_GB2312" w:cs="Times New Roman"/>
          <w:b w:val="0"/>
          <w:bCs w:val="0"/>
          <w:kern w:val="2"/>
          <w:sz w:val="28"/>
          <w:szCs w:val="28"/>
          <w:lang w:val="en-US" w:eastAsia="uk-UA" w:bidi="ar-SA"/>
        </w:rPr>
        <w:t>进行管理，固定资产管理办法完备，管理账目完整，报废流程清楚。</w:t>
      </w:r>
      <w:r>
        <w:rPr>
          <w:rFonts w:hint="eastAsia" w:ascii="仿宋_GB2312" w:hAnsi="Times New Roman" w:eastAsia="仿宋_GB2312" w:cs="Times New Roman"/>
          <w:b w:val="0"/>
          <w:bCs w:val="0"/>
          <w:kern w:val="2"/>
          <w:sz w:val="28"/>
          <w:szCs w:val="28"/>
          <w:lang w:val="en-US" w:eastAsia="zh-CN" w:bidi="ar-SA"/>
        </w:rPr>
        <w:t>2021年对8.2万元达到使用年限且没有使用价值的固定资产进行了报废核销。</w:t>
      </w:r>
      <w:r>
        <w:rPr>
          <w:rFonts w:hint="eastAsia" w:ascii="仿宋_GB2312" w:hAnsi="Times New Roman" w:eastAsia="仿宋_GB2312" w:cs="Times New Roman"/>
          <w:b w:val="0"/>
          <w:bCs w:val="0"/>
          <w:kern w:val="2"/>
          <w:sz w:val="28"/>
          <w:szCs w:val="28"/>
          <w:lang w:val="en-US" w:eastAsia="uk-UA" w:bidi="ar-SA"/>
        </w:rPr>
        <w:t>由物业公司对</w:t>
      </w:r>
      <w:r>
        <w:rPr>
          <w:rFonts w:hint="eastAsia" w:ascii="仿宋_GB2312" w:hAnsi="Times New Roman" w:eastAsia="仿宋_GB2312" w:cs="Times New Roman"/>
          <w:b w:val="0"/>
          <w:bCs w:val="0"/>
          <w:kern w:val="2"/>
          <w:sz w:val="28"/>
          <w:szCs w:val="28"/>
          <w:lang w:val="en-US" w:eastAsia="zh-CN" w:bidi="ar-SA"/>
        </w:rPr>
        <w:t>学校保洁、门岗及安保工作提供服务，同时物业公司对</w:t>
      </w:r>
      <w:r>
        <w:rPr>
          <w:rFonts w:hint="eastAsia" w:ascii="仿宋_GB2312" w:hAnsi="Times New Roman" w:eastAsia="仿宋_GB2312" w:cs="Times New Roman"/>
          <w:b w:val="0"/>
          <w:bCs w:val="0"/>
          <w:kern w:val="2"/>
          <w:sz w:val="28"/>
          <w:szCs w:val="28"/>
          <w:lang w:val="en-US" w:eastAsia="uk-UA" w:bidi="ar-SA"/>
        </w:rPr>
        <w:t>水、电、暖等设施设备和建筑物进行日常的维修维护，</w:t>
      </w:r>
      <w:r>
        <w:rPr>
          <w:rFonts w:hint="eastAsia" w:ascii="仿宋_GB2312" w:hAnsi="Times New Roman" w:eastAsia="仿宋_GB2312" w:cs="Times New Roman"/>
          <w:b w:val="0"/>
          <w:bCs w:val="0"/>
          <w:kern w:val="2"/>
          <w:sz w:val="28"/>
          <w:szCs w:val="28"/>
          <w:lang w:val="en-US" w:eastAsia="zh-CN" w:bidi="ar-SA"/>
        </w:rPr>
        <w:t>做到</w:t>
      </w:r>
      <w:r>
        <w:rPr>
          <w:rFonts w:hint="eastAsia" w:ascii="仿宋_GB2312" w:hAnsi="Times New Roman" w:eastAsia="仿宋_GB2312" w:cs="Times New Roman"/>
          <w:b w:val="0"/>
          <w:bCs w:val="0"/>
          <w:kern w:val="2"/>
          <w:sz w:val="28"/>
          <w:szCs w:val="28"/>
          <w:lang w:val="en-US" w:eastAsia="uk-UA" w:bidi="ar-SA"/>
        </w:rPr>
        <w:t>及时发现上报和处理问题，保证师生的正常使用、安全使用</w:t>
      </w:r>
      <w:r>
        <w:rPr>
          <w:rFonts w:hint="eastAsia" w:ascii="仿宋_GB2312" w:hAnsi="Times New Roman" w:eastAsia="仿宋_GB2312" w:cs="Times New Roman"/>
          <w:b w:val="0"/>
          <w:bCs w:val="0"/>
          <w:kern w:val="2"/>
          <w:sz w:val="28"/>
          <w:szCs w:val="28"/>
          <w:lang w:val="en-US" w:eastAsia="zh-CN" w:bidi="ar-SA"/>
        </w:rPr>
        <w:t>。</w:t>
      </w:r>
      <w:r>
        <w:rPr>
          <w:rFonts w:hint="eastAsia" w:ascii="仿宋_GB2312" w:hAnsi="Times New Roman" w:eastAsia="仿宋_GB2312" w:cs="Times New Roman"/>
          <w:b w:val="0"/>
          <w:bCs w:val="0"/>
          <w:kern w:val="2"/>
          <w:sz w:val="28"/>
          <w:szCs w:val="28"/>
          <w:lang w:val="en-US" w:eastAsia="uk-UA" w:bidi="ar-SA"/>
        </w:rPr>
        <w:t>维修维护制度完备。</w:t>
      </w:r>
      <w:r>
        <w:rPr>
          <w:rFonts w:hint="eastAsia" w:ascii="仿宋_GB2312" w:hAnsi="Times New Roman" w:eastAsia="仿宋_GB2312" w:cs="Times New Roman"/>
          <w:b w:val="0"/>
          <w:bCs w:val="0"/>
          <w:kern w:val="2"/>
          <w:sz w:val="28"/>
          <w:szCs w:val="28"/>
          <w:lang w:val="en-US" w:eastAsia="zh-CN" w:bidi="ar-SA"/>
        </w:rPr>
        <w:t>大力开展节能减排活动，在全校范围内掀起“节能减排，和谐发展，建设节约型校园”的活动热潮。通过</w:t>
      </w:r>
      <w:r>
        <w:rPr>
          <w:rFonts w:hint="eastAsia" w:ascii="仿宋_GB2312" w:hAnsi="Times New Roman" w:eastAsia="仿宋_GB2312" w:cs="Times New Roman"/>
          <w:b w:val="0"/>
          <w:bCs w:val="0"/>
          <w:kern w:val="2"/>
          <w:sz w:val="28"/>
          <w:szCs w:val="28"/>
          <w:lang w:val="en-US" w:eastAsia="uk-UA" w:bidi="ar-SA"/>
        </w:rPr>
        <w:t>张贴宣传海报、更换节约标牌、</w:t>
      </w:r>
      <w:r>
        <w:rPr>
          <w:rFonts w:hint="eastAsia" w:ascii="仿宋_GB2312" w:hAnsi="Times New Roman" w:eastAsia="仿宋_GB2312" w:cs="Times New Roman"/>
          <w:b w:val="0"/>
          <w:bCs w:val="0"/>
          <w:kern w:val="2"/>
          <w:sz w:val="28"/>
          <w:szCs w:val="28"/>
          <w:lang w:val="en-US" w:eastAsia="zh-CN" w:bidi="ar-SA"/>
        </w:rPr>
        <w:t>大屏幕流字</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进课堂等多种形式和方法，使节约意识深入人心，成为全体师生员工的自觉行动。</w:t>
      </w:r>
    </w:p>
    <w:p>
      <w:pPr>
        <w:rPr>
          <w:rFonts w:hint="eastAsia" w:eastAsia="宋体"/>
          <w:sz w:val="32"/>
          <w:szCs w:val="32"/>
          <w:lang w:eastAsia="zh-CN"/>
        </w:rPr>
      </w:pPr>
      <w:r>
        <w:rPr>
          <w:rFonts w:hint="eastAsia" w:eastAsia="宋体"/>
          <w:sz w:val="32"/>
          <w:szCs w:val="32"/>
          <w:lang w:eastAsia="zh-CN"/>
        </w:rPr>
        <w:drawing>
          <wp:inline distT="0" distB="0" distL="114300" distR="114300">
            <wp:extent cx="2613025" cy="1960245"/>
            <wp:effectExtent l="0" t="0" r="15875" b="1905"/>
            <wp:docPr id="185" name="图片 19" descr="节约宣传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9" descr="节约宣传 (1)"/>
                    <pic:cNvPicPr>
                      <a:picLocks noChangeAspect="1"/>
                    </pic:cNvPicPr>
                  </pic:nvPicPr>
                  <pic:blipFill>
                    <a:blip r:embed="rId54"/>
                    <a:stretch>
                      <a:fillRect/>
                    </a:stretch>
                  </pic:blipFill>
                  <pic:spPr>
                    <a:xfrm>
                      <a:off x="0" y="0"/>
                      <a:ext cx="2613025" cy="1960245"/>
                    </a:xfrm>
                    <a:prstGeom prst="rect">
                      <a:avLst/>
                    </a:prstGeom>
                    <a:noFill/>
                    <a:ln>
                      <a:noFill/>
                    </a:ln>
                  </pic:spPr>
                </pic:pic>
              </a:graphicData>
            </a:graphic>
          </wp:inline>
        </w:drawing>
      </w:r>
      <w:r>
        <w:rPr>
          <w:rFonts w:hint="eastAsia"/>
          <w:sz w:val="32"/>
          <w:szCs w:val="32"/>
          <w:lang w:val="en-US" w:eastAsia="zh-CN"/>
        </w:rPr>
        <w:t xml:space="preserve"> </w:t>
      </w:r>
      <w:r>
        <w:rPr>
          <w:rFonts w:hint="default"/>
          <w:sz w:val="32"/>
          <w:szCs w:val="32"/>
          <w:lang w:val="en-US" w:eastAsia="zh-CN"/>
        </w:rPr>
        <w:drawing>
          <wp:inline distT="0" distB="0" distL="114300" distR="114300">
            <wp:extent cx="2501900" cy="1960245"/>
            <wp:effectExtent l="0" t="0" r="12700" b="1905"/>
            <wp:docPr id="184" name="图片 20" descr="C:/Users/lenovo/AppData/Local/Temp/picturecompress_2021111617440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0" descr="C:/Users/lenovo/AppData/Local/Temp/picturecompress_20211116174408/output_1.jpgoutput_1"/>
                    <pic:cNvPicPr>
                      <a:picLocks noChangeAspect="1"/>
                    </pic:cNvPicPr>
                  </pic:nvPicPr>
                  <pic:blipFill>
                    <a:blip r:embed="rId55"/>
                    <a:stretch>
                      <a:fillRect/>
                    </a:stretch>
                  </pic:blipFill>
                  <pic:spPr>
                    <a:xfrm>
                      <a:off x="0" y="0"/>
                      <a:ext cx="2501900" cy="1960245"/>
                    </a:xfrm>
                    <a:prstGeom prst="rect">
                      <a:avLst/>
                    </a:prstGeom>
                    <a:noFill/>
                    <a:ln>
                      <a:noFill/>
                    </a:ln>
                  </pic:spPr>
                </pic:pic>
              </a:graphicData>
            </a:graphic>
          </wp:inline>
        </w:drawing>
      </w:r>
    </w:p>
    <w:p>
      <w:pPr>
        <w:rPr>
          <w:rFonts w:hint="default" w:ascii="仿宋_GB2312" w:hAnsi="Times New Roman" w:eastAsia="仿宋_GB2312" w:cs="Times New Roman"/>
          <w:b w:val="0"/>
          <w:bCs w:val="0"/>
          <w:kern w:val="2"/>
          <w:sz w:val="28"/>
          <w:szCs w:val="28"/>
          <w:lang w:val="en-US" w:eastAsia="zh-CN" w:bidi="ar-SA"/>
        </w:rPr>
      </w:pPr>
      <w:r>
        <w:rPr>
          <w:rFonts w:hint="eastAsia"/>
          <w:sz w:val="32"/>
          <w:szCs w:val="32"/>
          <w:lang w:val="en-US" w:eastAsia="zh-CN"/>
        </w:rPr>
        <w:t xml:space="preserve">       </w:t>
      </w:r>
      <w:r>
        <w:rPr>
          <w:rFonts w:hint="eastAsia" w:ascii="仿宋_GB2312" w:hAnsi="Times New Roman" w:eastAsia="仿宋_GB2312" w:cs="Times New Roman"/>
          <w:b w:val="0"/>
          <w:bCs w:val="0"/>
          <w:kern w:val="2"/>
          <w:sz w:val="28"/>
          <w:szCs w:val="28"/>
          <w:lang w:val="en-US" w:eastAsia="zh-CN" w:bidi="ar-SA"/>
        </w:rPr>
        <w:t xml:space="preserve">节能减排宣传 </w:t>
      </w:r>
      <w:r>
        <w:rPr>
          <w:rFonts w:hint="eastAsia"/>
          <w:sz w:val="32"/>
          <w:szCs w:val="32"/>
          <w:lang w:val="en-US" w:eastAsia="zh-CN"/>
        </w:rPr>
        <w:t xml:space="preserve">              </w:t>
      </w:r>
      <w:r>
        <w:rPr>
          <w:rFonts w:hint="eastAsia" w:ascii="仿宋_GB2312" w:hAnsi="Times New Roman" w:eastAsia="仿宋_GB2312" w:cs="Times New Roman"/>
          <w:b w:val="0"/>
          <w:bCs w:val="0"/>
          <w:kern w:val="2"/>
          <w:sz w:val="28"/>
          <w:szCs w:val="28"/>
          <w:lang w:val="en-US" w:eastAsia="zh-CN" w:bidi="ar-SA"/>
        </w:rPr>
        <w:t>节能减排宣传图片</w:t>
      </w:r>
    </w:p>
    <w:p>
      <w:pPr>
        <w:rPr>
          <w:rFonts w:hint="default"/>
          <w:sz w:val="32"/>
          <w:szCs w:val="32"/>
          <w:lang w:val="en-US" w:eastAsia="zh-CN"/>
        </w:rPr>
      </w:pPr>
      <w:r>
        <w:rPr>
          <w:rFonts w:hint="default"/>
          <w:sz w:val="32"/>
          <w:szCs w:val="32"/>
          <w:lang w:val="en-US" w:eastAsia="zh-CN"/>
        </w:rPr>
        <w:drawing>
          <wp:inline distT="0" distB="0" distL="114300" distR="114300">
            <wp:extent cx="5269865" cy="2355850"/>
            <wp:effectExtent l="0" t="0" r="6985" b="6350"/>
            <wp:docPr id="183" name="图片 21" descr="喷灌绿化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1" descr="喷灌绿化 (1)"/>
                    <pic:cNvPicPr>
                      <a:picLocks noChangeAspect="1"/>
                    </pic:cNvPicPr>
                  </pic:nvPicPr>
                  <pic:blipFill>
                    <a:blip r:embed="rId56"/>
                    <a:stretch>
                      <a:fillRect/>
                    </a:stretch>
                  </pic:blipFill>
                  <pic:spPr>
                    <a:xfrm>
                      <a:off x="0" y="0"/>
                      <a:ext cx="5269865" cy="2355850"/>
                    </a:xfrm>
                    <a:prstGeom prst="rect">
                      <a:avLst/>
                    </a:prstGeom>
                    <a:noFill/>
                    <a:ln>
                      <a:noFill/>
                    </a:ln>
                  </pic:spPr>
                </pic:pic>
              </a:graphicData>
            </a:graphic>
          </wp:inline>
        </w:drawing>
      </w:r>
    </w:p>
    <w:p>
      <w:pPr>
        <w:rPr>
          <w:rFonts w:hint="eastAsia" w:ascii="仿宋_GB2312" w:hAnsi="Times New Roman" w:eastAsia="仿宋_GB2312" w:cs="Times New Roman"/>
          <w:b w:val="0"/>
          <w:bCs w:val="0"/>
          <w:kern w:val="2"/>
          <w:sz w:val="28"/>
          <w:szCs w:val="28"/>
          <w:lang w:val="en-US" w:eastAsia="zh-CN" w:bidi="ar-SA"/>
        </w:rPr>
      </w:pPr>
      <w:r>
        <w:rPr>
          <w:rFonts w:hint="eastAsia"/>
          <w:sz w:val="32"/>
          <w:szCs w:val="32"/>
          <w:lang w:val="en-US" w:eastAsia="zh-CN"/>
        </w:rPr>
        <w:t xml:space="preserve">                   </w:t>
      </w:r>
      <w:r>
        <w:rPr>
          <w:rFonts w:hint="eastAsia" w:ascii="仿宋_GB2312" w:hAnsi="Times New Roman" w:eastAsia="仿宋_GB2312" w:cs="Times New Roman"/>
          <w:b w:val="0"/>
          <w:bCs w:val="0"/>
          <w:kern w:val="2"/>
          <w:sz w:val="28"/>
          <w:szCs w:val="28"/>
          <w:lang w:val="en-US" w:eastAsia="zh-CN" w:bidi="ar-SA"/>
        </w:rPr>
        <w:t>天然草坪滴灌喷水</w:t>
      </w:r>
    </w:p>
    <w:p>
      <w:pPr>
        <w:pStyle w:val="5"/>
        <w:keepNext/>
        <w:keepLines/>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uk-UA" w:bidi="ar-SA"/>
        </w:rPr>
      </w:pPr>
      <w:bookmarkStart w:id="112" w:name="_Toc_1_3_0000000021"/>
      <w:bookmarkStart w:id="113" w:name="_Toc10825"/>
      <w:bookmarkStart w:id="114" w:name="_Toc24890"/>
      <w:r>
        <w:rPr>
          <w:rFonts w:hint="eastAsia" w:ascii="仿宋_GB2312" w:hAnsi="Times New Roman" w:eastAsia="仿宋_GB2312" w:cs="Times New Roman"/>
          <w:b/>
          <w:bCs/>
          <w:kern w:val="2"/>
          <w:sz w:val="28"/>
          <w:szCs w:val="28"/>
          <w:lang w:val="en-US" w:eastAsia="uk-UA" w:bidi="ar-SA"/>
        </w:rPr>
        <w:t>4.</w:t>
      </w:r>
      <w:r>
        <w:rPr>
          <w:rFonts w:hint="eastAsia" w:ascii="仿宋_GB2312" w:hAnsi="Times New Roman" w:eastAsia="仿宋_GB2312" w:cs="Times New Roman"/>
          <w:b/>
          <w:bCs/>
          <w:kern w:val="2"/>
          <w:sz w:val="28"/>
          <w:szCs w:val="28"/>
          <w:lang w:val="en-US" w:eastAsia="zh-CN" w:bidi="ar-SA"/>
        </w:rPr>
        <w:t>3</w:t>
      </w:r>
      <w:r>
        <w:rPr>
          <w:rFonts w:hint="eastAsia" w:ascii="仿宋_GB2312" w:hAnsi="Times New Roman" w:eastAsia="仿宋_GB2312" w:cs="Times New Roman"/>
          <w:b/>
          <w:bCs/>
          <w:kern w:val="2"/>
          <w:sz w:val="28"/>
          <w:szCs w:val="28"/>
          <w:lang w:val="en-US" w:eastAsia="uk-UA" w:bidi="ar-SA"/>
        </w:rPr>
        <w:t>.4安全管理</w:t>
      </w:r>
      <w:bookmarkEnd w:id="112"/>
      <w:r>
        <w:rPr>
          <w:rFonts w:hint="eastAsia" w:ascii="仿宋_GB2312" w:hAnsi="Times New Roman" w:eastAsia="仿宋_GB2312" w:cs="Times New Roman"/>
          <w:b/>
          <w:bCs/>
          <w:kern w:val="2"/>
          <w:sz w:val="28"/>
          <w:szCs w:val="28"/>
          <w:lang w:val="en-US" w:eastAsia="uk-UA" w:bidi="ar-SA"/>
        </w:rPr>
        <w:t>保障体系</w:t>
      </w:r>
      <w:bookmarkEnd w:id="113"/>
      <w:bookmarkEnd w:id="114"/>
      <w:r>
        <w:rPr>
          <w:rFonts w:hint="eastAsia" w:ascii="仿宋_GB2312" w:hAnsi="Times New Roman" w:eastAsia="仿宋_GB2312" w:cs="Times New Roman"/>
          <w:b/>
          <w:bCs/>
          <w:kern w:val="2"/>
          <w:sz w:val="28"/>
          <w:szCs w:val="28"/>
          <w:lang w:val="en-US" w:eastAsia="uk-UA" w:bidi="ar-SA"/>
        </w:rPr>
        <w:t xml:space="preserve">  </w:t>
      </w:r>
    </w:p>
    <w:p>
      <w:pPr>
        <w:ind w:firstLine="560" w:firstLineChars="200"/>
        <w:rPr>
          <w:rFonts w:hint="eastAsia" w:ascii="仿宋_GB2312" w:hAnsi="Times New Roman" w:eastAsia="仿宋_GB2312" w:cs="Times New Roman"/>
          <w:b w:val="0"/>
          <w:bCs w:val="0"/>
          <w:kern w:val="2"/>
          <w:sz w:val="28"/>
          <w:szCs w:val="28"/>
          <w:lang w:val="en-US" w:eastAsia="uk-UA" w:bidi="ar-SA"/>
        </w:rPr>
      </w:pPr>
      <w:r>
        <w:rPr>
          <w:rFonts w:hint="eastAsia" w:ascii="仿宋_GB2312" w:hAnsi="Times New Roman" w:eastAsia="仿宋_GB2312" w:cs="Times New Roman"/>
          <w:b w:val="0"/>
          <w:bCs w:val="0"/>
          <w:kern w:val="2"/>
          <w:sz w:val="28"/>
          <w:szCs w:val="28"/>
          <w:lang w:val="en-US" w:eastAsia="zh-CN" w:bidi="ar-SA"/>
        </w:rPr>
        <w:t>安全责任重于泰山，为了使师生有一个安全，文明的工作学习环境，我校始终把安全工作放在首要位置，</w:t>
      </w:r>
      <w:r>
        <w:rPr>
          <w:rFonts w:hint="eastAsia" w:ascii="仿宋_GB2312" w:hAnsi="Times New Roman" w:eastAsia="仿宋_GB2312" w:cs="Times New Roman"/>
          <w:b w:val="0"/>
          <w:bCs w:val="0"/>
          <w:kern w:val="2"/>
          <w:sz w:val="28"/>
          <w:szCs w:val="28"/>
          <w:lang w:val="en-US" w:eastAsia="uk-UA" w:bidi="ar-SA"/>
        </w:rPr>
        <w:t>紧紧围绕“平安校园”建设，着力分析影响学校发展的不稳定因素，稳步推进各项安全工作，</w:t>
      </w:r>
      <w:r>
        <w:rPr>
          <w:rFonts w:hint="eastAsia" w:ascii="仿宋_GB2312" w:hAnsi="Times New Roman" w:eastAsia="仿宋_GB2312" w:cs="Times New Roman"/>
          <w:b w:val="0"/>
          <w:bCs w:val="0"/>
          <w:kern w:val="2"/>
          <w:sz w:val="28"/>
          <w:szCs w:val="28"/>
          <w:lang w:val="en-US" w:eastAsia="zh-CN" w:bidi="ar-SA"/>
        </w:rPr>
        <w:t>构筑“制度健全，全员参与，责任至人，奖惩分明”的校园安全网络，确保校园长治久安，</w:t>
      </w:r>
      <w:r>
        <w:rPr>
          <w:rFonts w:hint="eastAsia" w:ascii="仿宋_GB2312" w:hAnsi="Times New Roman" w:eastAsia="仿宋_GB2312" w:cs="Times New Roman"/>
          <w:b w:val="0"/>
          <w:bCs w:val="0"/>
          <w:kern w:val="2"/>
          <w:sz w:val="28"/>
          <w:szCs w:val="28"/>
          <w:lang w:val="en-US" w:eastAsia="uk-UA" w:bidi="ar-SA"/>
        </w:rPr>
        <w:t>努力营造安全</w:t>
      </w:r>
      <w:r>
        <w:rPr>
          <w:rFonts w:hint="eastAsia" w:ascii="仿宋_GB2312" w:hAnsi="Times New Roman" w:eastAsia="仿宋_GB2312" w:cs="Times New Roman"/>
          <w:b w:val="0"/>
          <w:bCs w:val="0"/>
          <w:kern w:val="2"/>
          <w:sz w:val="28"/>
          <w:szCs w:val="28"/>
          <w:lang w:val="en-US" w:eastAsia="zh-CN" w:bidi="ar-SA"/>
        </w:rPr>
        <w:t>、宁静、祥和</w:t>
      </w:r>
      <w:r>
        <w:rPr>
          <w:rFonts w:hint="eastAsia" w:ascii="仿宋_GB2312" w:hAnsi="Times New Roman" w:eastAsia="仿宋_GB2312" w:cs="Times New Roman"/>
          <w:b w:val="0"/>
          <w:bCs w:val="0"/>
          <w:kern w:val="2"/>
          <w:sz w:val="28"/>
          <w:szCs w:val="28"/>
          <w:lang w:val="en-US" w:eastAsia="uk-UA" w:bidi="ar-SA"/>
        </w:rPr>
        <w:t>的</w:t>
      </w:r>
      <w:r>
        <w:rPr>
          <w:rFonts w:hint="eastAsia" w:ascii="仿宋_GB2312" w:hAnsi="Times New Roman" w:eastAsia="仿宋_GB2312" w:cs="Times New Roman"/>
          <w:b w:val="0"/>
          <w:bCs w:val="0"/>
          <w:kern w:val="2"/>
          <w:sz w:val="28"/>
          <w:szCs w:val="28"/>
          <w:lang w:val="en-US" w:eastAsia="zh-CN" w:bidi="ar-SA"/>
        </w:rPr>
        <w:t>工作与学习</w:t>
      </w:r>
      <w:r>
        <w:rPr>
          <w:rFonts w:hint="eastAsia" w:ascii="仿宋_GB2312" w:hAnsi="Times New Roman" w:eastAsia="仿宋_GB2312" w:cs="Times New Roman"/>
          <w:b w:val="0"/>
          <w:bCs w:val="0"/>
          <w:kern w:val="2"/>
          <w:sz w:val="28"/>
          <w:szCs w:val="28"/>
          <w:lang w:val="en-US" w:eastAsia="uk-UA" w:bidi="ar-SA"/>
        </w:rPr>
        <w:t>环境。</w:t>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学校全面贯彻党和国家的教育方针，确保师生思想，政治方向明确，不受外界各种不良思想的影响，建设健康学校，进一步加强和完善校园安全防范措施，加强对校园周边环境的治理，充分发挥社会教育功能，优化育人环境，切实做到校园内不发生重大安全事故和大案要案，健全安全与法制教育体系，进一步增强师生法制观念，杜绝重大违法乱纪事件发生；一年来保卫科继续完善学校安全工作倡导机制，为切实增强学校安全管理工作，进一步建立健全学校安全工作“一把手”负责制，逐步形成了主管领导亲自抓，分管领导具体抓，各科室协助各司其职，齐抓共管的工作格局，并成立了学校安全领导小组，职责分工明确。健全学校安全管理制度建设，根据学校安全管理工作过程中发现的新问题，新情况，持续修订完善基本的安全管理工作制度，建章立制，用制度管理，并延伸到精细化管理。</w:t>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1、</w:t>
      </w:r>
      <w:r>
        <w:rPr>
          <w:rFonts w:hint="eastAsia" w:ascii="仿宋_GB2312" w:hAnsi="Times New Roman" w:eastAsia="仿宋_GB2312" w:cs="Times New Roman"/>
          <w:b w:val="0"/>
          <w:bCs w:val="0"/>
          <w:kern w:val="2"/>
          <w:sz w:val="28"/>
          <w:szCs w:val="28"/>
          <w:lang w:val="en-US" w:eastAsia="uk-UA" w:bidi="ar-SA"/>
        </w:rPr>
        <w:t>安全教育。学校对学生的消防安全教育、网络安全教育、禁毒教育</w:t>
      </w:r>
      <w:r>
        <w:rPr>
          <w:rFonts w:hint="eastAsia" w:ascii="仿宋_GB2312" w:hAnsi="Times New Roman" w:eastAsia="仿宋_GB2312" w:cs="Times New Roman"/>
          <w:b w:val="0"/>
          <w:bCs w:val="0"/>
          <w:kern w:val="2"/>
          <w:sz w:val="28"/>
          <w:szCs w:val="28"/>
          <w:lang w:val="en-US" w:eastAsia="zh-CN" w:bidi="ar-SA"/>
        </w:rPr>
        <w:t>、防意外伤害安全教育等</w:t>
      </w:r>
      <w:r>
        <w:rPr>
          <w:rFonts w:hint="eastAsia" w:ascii="仿宋_GB2312" w:hAnsi="Times New Roman" w:eastAsia="仿宋_GB2312" w:cs="Times New Roman"/>
          <w:b w:val="0"/>
          <w:bCs w:val="0"/>
          <w:kern w:val="2"/>
          <w:sz w:val="28"/>
          <w:szCs w:val="28"/>
          <w:lang w:val="en-US" w:eastAsia="uk-UA" w:bidi="ar-SA"/>
        </w:rPr>
        <w:t>常抓不懈，利用开学安全第一课、主题班会、学校专题讲座、印发宣传资料</w:t>
      </w:r>
      <w:r>
        <w:rPr>
          <w:rFonts w:hint="eastAsia" w:ascii="仿宋_GB2312" w:hAnsi="Times New Roman" w:eastAsia="仿宋_GB2312" w:cs="Times New Roman"/>
          <w:b w:val="0"/>
          <w:bCs w:val="0"/>
          <w:kern w:val="2"/>
          <w:sz w:val="28"/>
          <w:szCs w:val="28"/>
          <w:lang w:val="en-US" w:eastAsia="zh-CN" w:bidi="ar-SA"/>
        </w:rPr>
        <w:t>和校内版面</w:t>
      </w:r>
      <w:r>
        <w:rPr>
          <w:rFonts w:hint="eastAsia" w:ascii="仿宋_GB2312" w:hAnsi="Times New Roman" w:eastAsia="仿宋_GB2312" w:cs="Times New Roman"/>
          <w:b w:val="0"/>
          <w:bCs w:val="0"/>
          <w:kern w:val="2"/>
          <w:sz w:val="28"/>
          <w:szCs w:val="28"/>
          <w:lang w:val="en-US" w:eastAsia="uk-UA" w:bidi="ar-SA"/>
        </w:rPr>
        <w:t>等形式开展教育，</w:t>
      </w:r>
      <w:r>
        <w:rPr>
          <w:rFonts w:hint="eastAsia" w:ascii="仿宋_GB2312" w:hAnsi="Times New Roman" w:eastAsia="仿宋_GB2312" w:cs="Times New Roman"/>
          <w:b w:val="0"/>
          <w:bCs w:val="0"/>
          <w:kern w:val="2"/>
          <w:sz w:val="28"/>
          <w:szCs w:val="28"/>
          <w:lang w:val="en-US" w:eastAsia="zh-CN" w:bidi="ar-SA"/>
        </w:rPr>
        <w:t>2021年3月30日和9月8日我校专门聘请了政安消防的教官对全校师生进行消防安全知识培训；并于11月11日“消防安全日”邀请大同平城区开发区消防站消防官兵在男女公寓进行消防安全演练；9月28日和9月30日专门聘请大同市游泳协会秘书长李金涛老师对全校学生进行防溺水安全教育，</w:t>
      </w:r>
      <w:r>
        <w:rPr>
          <w:rFonts w:hint="eastAsia" w:ascii="仿宋_GB2312" w:hAnsi="Times New Roman" w:eastAsia="仿宋_GB2312" w:cs="Times New Roman"/>
          <w:b w:val="0"/>
          <w:bCs w:val="0"/>
          <w:kern w:val="2"/>
          <w:sz w:val="28"/>
          <w:szCs w:val="28"/>
          <w:lang w:val="en-US" w:eastAsia="uk-UA" w:bidi="ar-SA"/>
        </w:rPr>
        <w:t>通过</w:t>
      </w:r>
      <w:r>
        <w:rPr>
          <w:rFonts w:hint="eastAsia" w:ascii="仿宋_GB2312" w:hAnsi="Times New Roman" w:eastAsia="仿宋_GB2312" w:cs="Times New Roman"/>
          <w:b w:val="0"/>
          <w:bCs w:val="0"/>
          <w:kern w:val="2"/>
          <w:sz w:val="28"/>
          <w:szCs w:val="28"/>
          <w:lang w:val="en-US" w:eastAsia="zh-CN" w:bidi="ar-SA"/>
        </w:rPr>
        <w:t>各种安全</w:t>
      </w:r>
      <w:r>
        <w:rPr>
          <w:rFonts w:hint="eastAsia" w:ascii="仿宋_GB2312" w:hAnsi="Times New Roman" w:eastAsia="仿宋_GB2312" w:cs="Times New Roman"/>
          <w:b w:val="0"/>
          <w:bCs w:val="0"/>
          <w:kern w:val="2"/>
          <w:sz w:val="28"/>
          <w:szCs w:val="28"/>
          <w:lang w:val="en-US" w:eastAsia="uk-UA" w:bidi="ar-SA"/>
        </w:rPr>
        <w:t>教育及模拟演练活动，学生安全意识明显提高，全年无安</w:t>
      </w:r>
      <w:r>
        <w:rPr>
          <w:rFonts w:hint="eastAsia" w:ascii="仿宋_GB2312" w:hAnsi="Times New Roman" w:eastAsia="仿宋_GB2312" w:cs="Times New Roman"/>
          <w:b w:val="0"/>
          <w:bCs w:val="0"/>
          <w:kern w:val="2"/>
          <w:sz w:val="28"/>
          <w:szCs w:val="28"/>
          <w:lang w:val="en-US" w:eastAsia="zh-CN" w:bidi="ar-SA"/>
        </w:rPr>
        <w:t>全事故发生。</w:t>
      </w:r>
    </w:p>
    <w:p>
      <w:pPr>
        <w:spacing w:line="360" w:lineRule="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2573655" cy="1649730"/>
            <wp:effectExtent l="0" t="0" r="17145" b="7620"/>
            <wp:docPr id="140" name="图片 140" descr="25cba0e3fb6788b13909b0a4578ad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25cba0e3fb6788b13909b0a4578ada9"/>
                    <pic:cNvPicPr>
                      <a:picLocks noChangeAspect="1"/>
                    </pic:cNvPicPr>
                  </pic:nvPicPr>
                  <pic:blipFill>
                    <a:blip r:embed="rId57"/>
                    <a:stretch>
                      <a:fillRect/>
                    </a:stretch>
                  </pic:blipFill>
                  <pic:spPr>
                    <a:xfrm>
                      <a:off x="0" y="0"/>
                      <a:ext cx="2573655" cy="164973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eastAsia="zh-CN"/>
        </w:rPr>
        <w:drawing>
          <wp:inline distT="0" distB="0" distL="114300" distR="114300">
            <wp:extent cx="2580005" cy="1645920"/>
            <wp:effectExtent l="0" t="0" r="10795" b="11430"/>
            <wp:docPr id="141" name="图片 141" descr="720b5da11f88b93ff1cfe57a727b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720b5da11f88b93ff1cfe57a727b824"/>
                    <pic:cNvPicPr>
                      <a:picLocks noChangeAspect="1"/>
                    </pic:cNvPicPr>
                  </pic:nvPicPr>
                  <pic:blipFill>
                    <a:blip r:embed="rId58"/>
                    <a:stretch>
                      <a:fillRect/>
                    </a:stretch>
                  </pic:blipFill>
                  <pic:spPr>
                    <a:xfrm>
                      <a:off x="0" y="0"/>
                      <a:ext cx="2580005" cy="1645920"/>
                    </a:xfrm>
                    <a:prstGeom prst="rect">
                      <a:avLst/>
                    </a:prstGeom>
                  </pic:spPr>
                </pic:pic>
              </a:graphicData>
            </a:graphic>
          </wp:inline>
        </w:drawing>
      </w:r>
    </w:p>
    <w:p>
      <w:pPr>
        <w:spacing w:line="360" w:lineRule="auto"/>
        <w:ind w:firstLine="2800" w:firstLineChars="1000"/>
        <w:jc w:val="both"/>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消防安全教育场景</w:t>
      </w:r>
    </w:p>
    <w:p>
      <w:pPr>
        <w:spacing w:line="360" w:lineRule="auto"/>
        <w:jc w:val="both"/>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2533015" cy="1899920"/>
            <wp:effectExtent l="0" t="0" r="635" b="5080"/>
            <wp:docPr id="142" name="图片 142" descr="2c1ace9571f8fe19ec1c4595585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2c1ace9571f8fe19ec1c45955856282"/>
                    <pic:cNvPicPr>
                      <a:picLocks noChangeAspect="1"/>
                    </pic:cNvPicPr>
                  </pic:nvPicPr>
                  <pic:blipFill>
                    <a:blip r:embed="rId59"/>
                    <a:stretch>
                      <a:fillRect/>
                    </a:stretch>
                  </pic:blipFill>
                  <pic:spPr>
                    <a:xfrm>
                      <a:off x="0" y="0"/>
                      <a:ext cx="2533015" cy="189992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eastAsia="zh-CN"/>
        </w:rPr>
        <w:drawing>
          <wp:inline distT="0" distB="0" distL="114300" distR="114300">
            <wp:extent cx="2583815" cy="1914525"/>
            <wp:effectExtent l="0" t="0" r="6985" b="9525"/>
            <wp:docPr id="143" name="图片 143" descr="cbea4d2f8637713e40e3a3435e14c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cbea4d2f8637713e40e3a3435e14c5e"/>
                    <pic:cNvPicPr>
                      <a:picLocks noChangeAspect="1"/>
                    </pic:cNvPicPr>
                  </pic:nvPicPr>
                  <pic:blipFill>
                    <a:blip r:embed="rId60"/>
                    <a:stretch>
                      <a:fillRect/>
                    </a:stretch>
                  </pic:blipFill>
                  <pic:spPr>
                    <a:xfrm>
                      <a:off x="0" y="0"/>
                      <a:ext cx="2583815" cy="1914525"/>
                    </a:xfrm>
                    <a:prstGeom prst="rect">
                      <a:avLst/>
                    </a:prstGeom>
                  </pic:spPr>
                </pic:pic>
              </a:graphicData>
            </a:graphic>
          </wp:inline>
        </w:drawing>
      </w:r>
    </w:p>
    <w:p>
      <w:pPr>
        <w:spacing w:line="360" w:lineRule="auto"/>
        <w:ind w:firstLine="2800" w:firstLineChars="1000"/>
        <w:jc w:val="both"/>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禁毒宣传教育场景</w:t>
      </w:r>
    </w:p>
    <w:p>
      <w:pPr>
        <w:spacing w:line="360" w:lineRule="auto"/>
        <w:jc w:val="both"/>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2505710" cy="1697990"/>
            <wp:effectExtent l="0" t="0" r="8890" b="16510"/>
            <wp:docPr id="144" name="图片 144" descr="6ff810e71b97df264cb58d8b45d0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6ff810e71b97df264cb58d8b45d0c46"/>
                    <pic:cNvPicPr>
                      <a:picLocks noChangeAspect="1"/>
                    </pic:cNvPicPr>
                  </pic:nvPicPr>
                  <pic:blipFill>
                    <a:blip r:embed="rId61"/>
                    <a:stretch>
                      <a:fillRect/>
                    </a:stretch>
                  </pic:blipFill>
                  <pic:spPr>
                    <a:xfrm>
                      <a:off x="0" y="0"/>
                      <a:ext cx="2505710" cy="169799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eastAsia="zh-CN"/>
        </w:rPr>
        <w:drawing>
          <wp:inline distT="0" distB="0" distL="114300" distR="114300">
            <wp:extent cx="2599055" cy="1711960"/>
            <wp:effectExtent l="0" t="0" r="10795" b="2540"/>
            <wp:docPr id="145" name="图片 145" descr="24e9b1048abb0bda1c8df75d773f0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24e9b1048abb0bda1c8df75d773f0d2"/>
                    <pic:cNvPicPr>
                      <a:picLocks noChangeAspect="1"/>
                    </pic:cNvPicPr>
                  </pic:nvPicPr>
                  <pic:blipFill>
                    <a:blip r:embed="rId62"/>
                    <a:stretch>
                      <a:fillRect/>
                    </a:stretch>
                  </pic:blipFill>
                  <pic:spPr>
                    <a:xfrm>
                      <a:off x="0" y="0"/>
                      <a:ext cx="2599055" cy="1711960"/>
                    </a:xfrm>
                    <a:prstGeom prst="rect">
                      <a:avLst/>
                    </a:prstGeom>
                  </pic:spPr>
                </pic:pic>
              </a:graphicData>
            </a:graphic>
          </wp:inline>
        </w:drawing>
      </w:r>
    </w:p>
    <w:p>
      <w:pPr>
        <w:spacing w:line="360" w:lineRule="auto"/>
        <w:ind w:firstLine="3080" w:firstLineChars="1100"/>
        <w:jc w:val="both"/>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防溺水教育场景</w:t>
      </w:r>
    </w:p>
    <w:p>
      <w:pPr>
        <w:spacing w:line="360" w:lineRule="auto"/>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drawing>
          <wp:inline distT="0" distB="0" distL="114300" distR="114300">
            <wp:extent cx="2521585" cy="1715770"/>
            <wp:effectExtent l="0" t="0" r="12065" b="17780"/>
            <wp:docPr id="146" name="图片 146" descr="IMG_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IMG_7730"/>
                    <pic:cNvPicPr>
                      <a:picLocks noChangeAspect="1"/>
                    </pic:cNvPicPr>
                  </pic:nvPicPr>
                  <pic:blipFill>
                    <a:blip r:embed="rId63"/>
                    <a:stretch>
                      <a:fillRect/>
                    </a:stretch>
                  </pic:blipFill>
                  <pic:spPr>
                    <a:xfrm>
                      <a:off x="0" y="0"/>
                      <a:ext cx="2521585" cy="1715770"/>
                    </a:xfrm>
                    <a:prstGeom prst="rect">
                      <a:avLst/>
                    </a:prstGeom>
                  </pic:spPr>
                </pic:pic>
              </a:graphicData>
            </a:graphic>
          </wp:inline>
        </w:drawing>
      </w:r>
      <w:r>
        <w:rPr>
          <w:rFonts w:hint="eastAsia" w:ascii="仿宋_GB2312" w:hAnsi="仿宋_GB2312" w:eastAsia="仿宋_GB2312" w:cs="仿宋_GB2312"/>
          <w:b/>
          <w:bCs/>
          <w:sz w:val="28"/>
          <w:szCs w:val="28"/>
          <w:lang w:val="en-US" w:eastAsia="zh-CN"/>
        </w:rPr>
        <w:t xml:space="preserve"> </w:t>
      </w:r>
      <w:r>
        <w:rPr>
          <w:rFonts w:hint="eastAsia" w:ascii="仿宋_GB2312" w:hAnsi="仿宋_GB2312" w:eastAsia="仿宋_GB2312" w:cs="仿宋_GB2312"/>
          <w:b/>
          <w:bCs/>
          <w:sz w:val="28"/>
          <w:szCs w:val="28"/>
          <w:lang w:eastAsia="zh-CN"/>
        </w:rPr>
        <w:drawing>
          <wp:inline distT="0" distB="0" distL="114300" distR="114300">
            <wp:extent cx="2559685" cy="1706880"/>
            <wp:effectExtent l="0" t="0" r="12065" b="7620"/>
            <wp:docPr id="147" name="图片 147" descr="C:/Users/Administrator/AppData/Local/Temp/picturecompress_2021111509144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C:/Users/Administrator/AppData/Local/Temp/picturecompress_20211115091442/output_1.jpgoutput_1"/>
                    <pic:cNvPicPr>
                      <a:picLocks noChangeAspect="1"/>
                    </pic:cNvPicPr>
                  </pic:nvPicPr>
                  <pic:blipFill>
                    <a:blip r:embed="rId64"/>
                    <a:stretch>
                      <a:fillRect/>
                    </a:stretch>
                  </pic:blipFill>
                  <pic:spPr>
                    <a:xfrm>
                      <a:off x="0" y="0"/>
                      <a:ext cx="2559685" cy="1706880"/>
                    </a:xfrm>
                    <a:prstGeom prst="rect">
                      <a:avLst/>
                    </a:prstGeom>
                  </pic:spPr>
                </pic:pic>
              </a:graphicData>
            </a:graphic>
          </wp:inline>
        </w:drawing>
      </w:r>
    </w:p>
    <w:p>
      <w:pPr>
        <w:spacing w:line="360" w:lineRule="auto"/>
        <w:ind w:firstLine="3080" w:firstLineChars="1100"/>
        <w:jc w:val="both"/>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lang w:eastAsia="zh-CN"/>
        </w:rPr>
        <w:t>消防演练</w:t>
      </w:r>
      <w:r>
        <w:rPr>
          <w:rFonts w:hint="eastAsia" w:ascii="仿宋_GB2312" w:hAnsi="仿宋_GB2312" w:eastAsia="仿宋_GB2312" w:cs="仿宋_GB2312"/>
          <w:b w:val="0"/>
          <w:bCs w:val="0"/>
          <w:sz w:val="28"/>
          <w:szCs w:val="28"/>
        </w:rPr>
        <w:t>场景</w:t>
      </w:r>
    </w:p>
    <w:p>
      <w:pPr>
        <w:ind w:firstLine="560" w:firstLineChars="200"/>
        <w:rPr>
          <w:rFonts w:hint="eastAsia" w:ascii="仿宋_GB2312" w:hAnsi="Times New Roman" w:eastAsia="仿宋_GB2312" w:cs="Times New Roman"/>
          <w:b w:val="0"/>
          <w:bCs w:val="0"/>
          <w:kern w:val="2"/>
          <w:sz w:val="28"/>
          <w:szCs w:val="28"/>
          <w:lang w:val="en-US" w:eastAsia="uk-UA" w:bidi="ar-SA"/>
        </w:rPr>
      </w:pPr>
      <w:r>
        <w:rPr>
          <w:rFonts w:hint="eastAsia" w:ascii="仿宋_GB2312" w:hAnsi="Times New Roman" w:eastAsia="仿宋_GB2312" w:cs="Times New Roman"/>
          <w:b w:val="0"/>
          <w:bCs w:val="0"/>
          <w:kern w:val="2"/>
          <w:sz w:val="28"/>
          <w:szCs w:val="28"/>
          <w:lang w:val="en-US" w:eastAsia="zh-CN" w:bidi="ar-SA"/>
        </w:rPr>
        <w:t>2、</w:t>
      </w:r>
      <w:r>
        <w:rPr>
          <w:rFonts w:hint="eastAsia" w:ascii="仿宋_GB2312" w:hAnsi="Times New Roman" w:eastAsia="仿宋_GB2312" w:cs="Times New Roman"/>
          <w:b w:val="0"/>
          <w:bCs w:val="0"/>
          <w:kern w:val="2"/>
          <w:sz w:val="28"/>
          <w:szCs w:val="28"/>
          <w:lang w:val="en-US" w:eastAsia="uk-UA" w:bidi="ar-SA"/>
        </w:rPr>
        <w:t>消防安全。</w:t>
      </w:r>
      <w:r>
        <w:rPr>
          <w:rFonts w:hint="eastAsia" w:ascii="仿宋_GB2312" w:hAnsi="Times New Roman" w:eastAsia="仿宋_GB2312" w:cs="Times New Roman"/>
          <w:b w:val="0"/>
          <w:bCs w:val="0"/>
          <w:kern w:val="2"/>
          <w:sz w:val="28"/>
          <w:szCs w:val="28"/>
          <w:lang w:val="en-US" w:eastAsia="zh-CN" w:bidi="ar-SA"/>
        </w:rPr>
        <w:t>我校共有消防栓箱210个，灭火器448具，建成3个微型消防站，并有专门的消防控制室，24小时专人值守，本年度</w:t>
      </w:r>
      <w:r>
        <w:rPr>
          <w:rFonts w:hint="eastAsia" w:ascii="仿宋_GB2312" w:hAnsi="Times New Roman" w:eastAsia="仿宋_GB2312" w:cs="Times New Roman"/>
          <w:b w:val="0"/>
          <w:bCs w:val="0"/>
          <w:kern w:val="2"/>
          <w:sz w:val="28"/>
          <w:szCs w:val="28"/>
          <w:lang w:val="en-US" w:eastAsia="uk-UA" w:bidi="ar-SA"/>
        </w:rPr>
        <w:t>保卫科</w:t>
      </w:r>
      <w:r>
        <w:rPr>
          <w:rFonts w:hint="eastAsia" w:ascii="仿宋_GB2312" w:hAnsi="Times New Roman" w:eastAsia="仿宋_GB2312" w:cs="Times New Roman"/>
          <w:b w:val="0"/>
          <w:bCs w:val="0"/>
          <w:kern w:val="2"/>
          <w:sz w:val="28"/>
          <w:szCs w:val="28"/>
          <w:lang w:val="en-US" w:eastAsia="zh-CN" w:bidi="ar-SA"/>
        </w:rPr>
        <w:t>联合其它科室</w:t>
      </w:r>
      <w:r>
        <w:rPr>
          <w:rFonts w:hint="eastAsia" w:ascii="仿宋_GB2312" w:hAnsi="Times New Roman" w:eastAsia="仿宋_GB2312" w:cs="Times New Roman"/>
          <w:b w:val="0"/>
          <w:bCs w:val="0"/>
          <w:kern w:val="2"/>
          <w:sz w:val="28"/>
          <w:szCs w:val="28"/>
          <w:lang w:val="en-US" w:eastAsia="uk-UA" w:bidi="ar-SA"/>
        </w:rPr>
        <w:t>对</w:t>
      </w:r>
      <w:r>
        <w:rPr>
          <w:rFonts w:hint="eastAsia" w:ascii="仿宋_GB2312" w:hAnsi="Times New Roman" w:eastAsia="仿宋_GB2312" w:cs="Times New Roman"/>
          <w:b w:val="0"/>
          <w:bCs w:val="0"/>
          <w:kern w:val="2"/>
          <w:sz w:val="28"/>
          <w:szCs w:val="28"/>
          <w:lang w:val="en-US" w:eastAsia="zh-CN" w:bidi="ar-SA"/>
        </w:rPr>
        <w:t>全校进行每月一次或重大节假日前的消防安全大检查，对发现的问题及时处理，并把检查结果上报校务委员会，监督落实情况，实行闭环式管理，防患于未然；要求物业公司的安保人员对全校进行日常检查，发现问题及时上报及时处理，保卫科负责监督整改情况；专门聘请专业人士对运动场馆、教学办公楼绘制了消防安全紧急疏散图；并适时</w:t>
      </w:r>
      <w:r>
        <w:rPr>
          <w:rFonts w:hint="eastAsia" w:ascii="仿宋_GB2312" w:hAnsi="Times New Roman" w:eastAsia="仿宋_GB2312" w:cs="Times New Roman"/>
          <w:b w:val="0"/>
          <w:bCs w:val="0"/>
          <w:kern w:val="2"/>
          <w:sz w:val="28"/>
          <w:szCs w:val="28"/>
          <w:lang w:val="en-US" w:eastAsia="uk-UA" w:bidi="ar-SA"/>
        </w:rPr>
        <w:t>对全校消防栓、消防器材箱、消防指示灯、消防报警系统以及消防广播和消防管网等的排查式检测，联合相关职能部门进行整改，对损坏和过期设备进行了维修和更换。接洽消防维保单位，对我校消防安全设施进行进行专业的维修和保养。</w:t>
      </w:r>
    </w:p>
    <w:p>
      <w:pPr>
        <w:numPr>
          <w:ilvl w:val="0"/>
          <w:numId w:val="0"/>
        </w:numPr>
        <w:spacing w:line="360"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2539365" cy="1649730"/>
            <wp:effectExtent l="0" t="0" r="13335" b="7620"/>
            <wp:docPr id="148" name="图片 148" descr="d545bc128396ec76030b7233d7f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d545bc128396ec76030b7233d7f6341"/>
                    <pic:cNvPicPr>
                      <a:picLocks noChangeAspect="1"/>
                    </pic:cNvPicPr>
                  </pic:nvPicPr>
                  <pic:blipFill>
                    <a:blip r:embed="rId65"/>
                    <a:stretch>
                      <a:fillRect/>
                    </a:stretch>
                  </pic:blipFill>
                  <pic:spPr>
                    <a:xfrm>
                      <a:off x="0" y="0"/>
                      <a:ext cx="2539365" cy="164973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val="en-US" w:eastAsia="zh-CN"/>
        </w:rPr>
        <w:drawing>
          <wp:inline distT="0" distB="0" distL="114300" distR="114300">
            <wp:extent cx="2586990" cy="1642745"/>
            <wp:effectExtent l="0" t="0" r="3810" b="14605"/>
            <wp:docPr id="149" name="图片 149" descr="6b5eaa6ff5e9928f0dc6f5065996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6b5eaa6ff5e9928f0dc6f506599617a"/>
                    <pic:cNvPicPr>
                      <a:picLocks noChangeAspect="1"/>
                    </pic:cNvPicPr>
                  </pic:nvPicPr>
                  <pic:blipFill>
                    <a:blip r:embed="rId66"/>
                    <a:stretch>
                      <a:fillRect/>
                    </a:stretch>
                  </pic:blipFill>
                  <pic:spPr>
                    <a:xfrm>
                      <a:off x="0" y="0"/>
                      <a:ext cx="2586990" cy="1642745"/>
                    </a:xfrm>
                    <a:prstGeom prst="rect">
                      <a:avLst/>
                    </a:prstGeom>
                  </pic:spPr>
                </pic:pic>
              </a:graphicData>
            </a:graphic>
          </wp:inline>
        </w:drawing>
      </w:r>
    </w:p>
    <w:p>
      <w:pPr>
        <w:ind w:firstLine="1209" w:firstLineChars="432"/>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eastAsia="zh-CN"/>
        </w:rPr>
        <w:t>消防控制室</w:t>
      </w:r>
      <w:r>
        <w:rPr>
          <w:rFonts w:hint="eastAsia" w:ascii="仿宋_GB2312" w:hAnsi="仿宋_GB2312" w:eastAsia="仿宋_GB2312" w:cs="仿宋_GB2312"/>
          <w:b w:val="0"/>
          <w:bCs w:val="0"/>
          <w:color w:val="auto"/>
          <w:sz w:val="28"/>
          <w:szCs w:val="28"/>
          <w:lang w:val="en-US" w:eastAsia="zh-CN"/>
        </w:rPr>
        <w:t xml:space="preserve">                    微型消防站</w:t>
      </w:r>
    </w:p>
    <w:p>
      <w:pPr>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drawing>
          <wp:inline distT="0" distB="0" distL="114300" distR="114300">
            <wp:extent cx="2545080" cy="1638300"/>
            <wp:effectExtent l="0" t="0" r="7620" b="0"/>
            <wp:docPr id="150" name="图片 150" descr="C:/Users/Administrator/AppData/Local/Temp/picturecompress_2021111510244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C:/Users/Administrator/AppData/Local/Temp/picturecompress_20211115102446/output_1.jpgoutput_1"/>
                    <pic:cNvPicPr>
                      <a:picLocks noChangeAspect="1"/>
                    </pic:cNvPicPr>
                  </pic:nvPicPr>
                  <pic:blipFill>
                    <a:blip r:embed="rId67"/>
                    <a:stretch>
                      <a:fillRect/>
                    </a:stretch>
                  </pic:blipFill>
                  <pic:spPr>
                    <a:xfrm>
                      <a:off x="0" y="0"/>
                      <a:ext cx="2545080" cy="163830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default" w:ascii="仿宋_GB2312" w:hAnsi="仿宋_GB2312" w:eastAsia="仿宋_GB2312" w:cs="仿宋_GB2312"/>
          <w:sz w:val="28"/>
          <w:szCs w:val="28"/>
          <w:lang w:val="en-US" w:eastAsia="zh-CN"/>
        </w:rPr>
        <w:drawing>
          <wp:inline distT="0" distB="0" distL="114300" distR="114300">
            <wp:extent cx="2568575" cy="1624965"/>
            <wp:effectExtent l="0" t="0" r="3175" b="13335"/>
            <wp:docPr id="151" name="图片 151" descr="ea7a8abdcf4ae07dadcb4f856e8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ea7a8abdcf4ae07dadcb4f856e80645"/>
                    <pic:cNvPicPr>
                      <a:picLocks noChangeAspect="1"/>
                    </pic:cNvPicPr>
                  </pic:nvPicPr>
                  <pic:blipFill>
                    <a:blip r:embed="rId68"/>
                    <a:stretch>
                      <a:fillRect/>
                    </a:stretch>
                  </pic:blipFill>
                  <pic:spPr>
                    <a:xfrm>
                      <a:off x="0" y="0"/>
                      <a:ext cx="2568575" cy="1624965"/>
                    </a:xfrm>
                    <a:prstGeom prst="rect">
                      <a:avLst/>
                    </a:prstGeom>
                  </pic:spPr>
                </pic:pic>
              </a:graphicData>
            </a:graphic>
          </wp:inline>
        </w:drawing>
      </w:r>
    </w:p>
    <w:p>
      <w:pPr>
        <w:ind w:firstLine="840" w:firstLineChars="300"/>
        <w:jc w:val="both"/>
        <w:rPr>
          <w:rFonts w:hint="eastAsia" w:ascii="仿宋_GB2312" w:hAnsi="仿宋_GB2312" w:eastAsia="仿宋_GB2312" w:cs="仿宋_GB2312"/>
          <w:b w:val="0"/>
          <w:bCs w:val="0"/>
          <w:sz w:val="28"/>
          <w:szCs w:val="28"/>
          <w:lang w:val="en-US" w:eastAsia="uk-UA"/>
        </w:rPr>
      </w:pPr>
      <w:r>
        <w:rPr>
          <w:rFonts w:hint="eastAsia" w:ascii="仿宋_GB2312" w:hAnsi="仿宋_GB2312" w:eastAsia="仿宋_GB2312" w:cs="仿宋_GB2312"/>
          <w:b w:val="0"/>
          <w:bCs w:val="0"/>
          <w:color w:val="auto"/>
          <w:sz w:val="28"/>
          <w:szCs w:val="28"/>
          <w:lang w:eastAsia="zh-CN" w:bidi="ar"/>
        </w:rPr>
        <w:t>消防安全紧急疏散图</w:t>
      </w:r>
      <w:r>
        <w:rPr>
          <w:rFonts w:hint="eastAsia" w:ascii="仿宋_GB2312" w:hAnsi="仿宋_GB2312" w:eastAsia="仿宋_GB2312" w:cs="仿宋_GB2312"/>
          <w:b w:val="0"/>
          <w:bCs w:val="0"/>
          <w:color w:val="auto"/>
          <w:sz w:val="28"/>
          <w:szCs w:val="28"/>
          <w:lang w:val="en-US" w:eastAsia="zh-CN" w:bidi="ar"/>
        </w:rPr>
        <w:t xml:space="preserve">      消防安全管理责任人信息公示</w:t>
      </w:r>
    </w:p>
    <w:p>
      <w:pPr>
        <w:ind w:firstLine="560" w:firstLineChars="200"/>
        <w:rPr>
          <w:rFonts w:hint="eastAsia" w:ascii="仿宋_GB2312" w:hAnsi="Times New Roman" w:eastAsia="仿宋_GB2312" w:cs="Times New Roman"/>
          <w:b w:val="0"/>
          <w:bCs w:val="0"/>
          <w:kern w:val="2"/>
          <w:sz w:val="28"/>
          <w:szCs w:val="28"/>
          <w:lang w:val="en-US" w:eastAsia="uk-UA" w:bidi="ar-SA"/>
        </w:rPr>
      </w:pPr>
      <w:r>
        <w:rPr>
          <w:rFonts w:hint="eastAsia" w:ascii="仿宋_GB2312" w:hAnsi="Times New Roman" w:eastAsia="仿宋_GB2312" w:cs="Times New Roman"/>
          <w:b w:val="0"/>
          <w:bCs w:val="0"/>
          <w:kern w:val="2"/>
          <w:sz w:val="28"/>
          <w:szCs w:val="28"/>
          <w:lang w:val="en-US" w:eastAsia="uk-UA" w:bidi="ar-SA"/>
        </w:rPr>
        <w:t>3、校内安全。</w:t>
      </w:r>
      <w:r>
        <w:rPr>
          <w:rFonts w:hint="eastAsia" w:ascii="仿宋_GB2312" w:hAnsi="Times New Roman" w:eastAsia="仿宋_GB2312" w:cs="Times New Roman"/>
          <w:b w:val="0"/>
          <w:bCs w:val="0"/>
          <w:kern w:val="2"/>
          <w:sz w:val="28"/>
          <w:szCs w:val="28"/>
          <w:lang w:val="en-US" w:eastAsia="zh-CN" w:bidi="ar-SA"/>
        </w:rPr>
        <w:t>我校成立了“平安校园”组织机构，明确责任分工，强化主体责任，责任至人，并在东、南校门门卫内安装有“一键报警</w:t>
      </w:r>
      <w:r>
        <w:rPr>
          <w:rFonts w:hint="default" w:ascii="仿宋_GB2312" w:hAnsi="Times New Roman" w:eastAsia="仿宋_GB2312" w:cs="Times New Roman"/>
          <w:b w:val="0"/>
          <w:bCs w:val="0"/>
          <w:kern w:val="2"/>
          <w:sz w:val="28"/>
          <w:szCs w:val="28"/>
          <w:lang w:val="en-US" w:eastAsia="zh-CN" w:bidi="ar-SA"/>
        </w:rPr>
        <w:t>”</w:t>
      </w:r>
      <w:r>
        <w:rPr>
          <w:rFonts w:hint="eastAsia" w:ascii="仿宋_GB2312" w:hAnsi="Times New Roman" w:eastAsia="仿宋_GB2312" w:cs="Times New Roman"/>
          <w:b w:val="0"/>
          <w:bCs w:val="0"/>
          <w:kern w:val="2"/>
          <w:sz w:val="28"/>
          <w:szCs w:val="28"/>
          <w:lang w:val="en-US" w:eastAsia="zh-CN" w:bidi="ar-SA"/>
        </w:rPr>
        <w:t>装置，与大同市公安局内保分局联网，确保校园安全，我校全年无犯罪案件发生，保卫科与其他科室积极配合发现校园内的纠纷矛盾及时化解，把矛盾消灭在萌芽状态，对后进学生和教职员工密切关注其动态，并安排专人帮扶，做好思想工作；我校有视频高清摄像头302个</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基本做到校园无死角全覆盖，有24小时专人值守的监控室，</w:t>
      </w:r>
      <w:r>
        <w:rPr>
          <w:rFonts w:hint="eastAsia" w:ascii="仿宋_GB2312" w:hAnsi="Times New Roman" w:eastAsia="仿宋_GB2312" w:cs="Times New Roman"/>
          <w:b w:val="0"/>
          <w:bCs w:val="0"/>
          <w:kern w:val="2"/>
          <w:sz w:val="28"/>
          <w:szCs w:val="28"/>
          <w:lang w:val="en-US" w:eastAsia="uk-UA" w:bidi="ar-SA"/>
        </w:rPr>
        <w:t>随时随地的对校园安全情况进行有效的适时动态监控</w:t>
      </w:r>
      <w:r>
        <w:rPr>
          <w:rFonts w:hint="eastAsia" w:ascii="仿宋_GB2312" w:hAnsi="Times New Roman" w:eastAsia="仿宋_GB2312" w:cs="Times New Roman"/>
          <w:b w:val="0"/>
          <w:bCs w:val="0"/>
          <w:kern w:val="2"/>
          <w:sz w:val="28"/>
          <w:szCs w:val="28"/>
          <w:lang w:val="en-US" w:eastAsia="zh-CN" w:bidi="ar-SA"/>
        </w:rPr>
        <w:t>，发现问题第一时间上报保卫科，今年我校的主要路段和田径场与大同市公安局信息科全面接入视频监控；</w:t>
      </w:r>
      <w:r>
        <w:rPr>
          <w:rFonts w:hint="eastAsia" w:ascii="仿宋_GB2312" w:hAnsi="Times New Roman" w:eastAsia="仿宋_GB2312" w:cs="Times New Roman"/>
          <w:b w:val="0"/>
          <w:bCs w:val="0"/>
          <w:kern w:val="2"/>
          <w:sz w:val="28"/>
          <w:szCs w:val="28"/>
          <w:lang w:val="en-US" w:eastAsia="uk-UA" w:bidi="ar-SA"/>
        </w:rPr>
        <w:t>在所有教学</w:t>
      </w:r>
      <w:r>
        <w:rPr>
          <w:rFonts w:hint="eastAsia" w:ascii="仿宋_GB2312" w:hAnsi="Times New Roman" w:eastAsia="仿宋_GB2312" w:cs="Times New Roman"/>
          <w:b w:val="0"/>
          <w:bCs w:val="0"/>
          <w:kern w:val="2"/>
          <w:sz w:val="28"/>
          <w:szCs w:val="28"/>
          <w:lang w:val="en-US" w:eastAsia="zh-CN" w:bidi="ar-SA"/>
        </w:rPr>
        <w:t>楼</w:t>
      </w:r>
      <w:r>
        <w:rPr>
          <w:rFonts w:hint="eastAsia" w:ascii="仿宋_GB2312" w:hAnsi="Times New Roman" w:eastAsia="仿宋_GB2312" w:cs="Times New Roman"/>
          <w:b w:val="0"/>
          <w:bCs w:val="0"/>
          <w:kern w:val="2"/>
          <w:sz w:val="28"/>
          <w:szCs w:val="28"/>
          <w:lang w:val="en-US" w:eastAsia="uk-UA" w:bidi="ar-SA"/>
        </w:rPr>
        <w:t>、学生公寓、</w:t>
      </w:r>
      <w:r>
        <w:rPr>
          <w:rFonts w:hint="eastAsia" w:ascii="仿宋_GB2312" w:hAnsi="Times New Roman" w:eastAsia="仿宋_GB2312" w:cs="Times New Roman"/>
          <w:b w:val="0"/>
          <w:bCs w:val="0"/>
          <w:kern w:val="2"/>
          <w:sz w:val="28"/>
          <w:szCs w:val="28"/>
          <w:lang w:val="en-US" w:eastAsia="zh-CN" w:bidi="ar-SA"/>
        </w:rPr>
        <w:t>办公楼、训练</w:t>
      </w:r>
      <w:r>
        <w:rPr>
          <w:rFonts w:hint="eastAsia" w:ascii="仿宋_GB2312" w:hAnsi="Times New Roman" w:eastAsia="仿宋_GB2312" w:cs="Times New Roman"/>
          <w:b w:val="0"/>
          <w:bCs w:val="0"/>
          <w:kern w:val="2"/>
          <w:sz w:val="28"/>
          <w:szCs w:val="28"/>
          <w:lang w:val="en-US" w:eastAsia="uk-UA" w:bidi="ar-SA"/>
        </w:rPr>
        <w:t>馆</w:t>
      </w:r>
      <w:r>
        <w:rPr>
          <w:rFonts w:hint="eastAsia" w:ascii="仿宋_GB2312" w:hAnsi="Times New Roman" w:eastAsia="仿宋_GB2312" w:cs="Times New Roman"/>
          <w:b w:val="0"/>
          <w:bCs w:val="0"/>
          <w:kern w:val="2"/>
          <w:sz w:val="28"/>
          <w:szCs w:val="28"/>
          <w:lang w:val="en-US" w:eastAsia="zh-CN" w:bidi="ar-SA"/>
        </w:rPr>
        <w:t>聘请专业人士做了安全风险评估，并且每个区域设有安全责任人，明确责任。</w:t>
      </w:r>
    </w:p>
    <w:p>
      <w:pPr>
        <w:ind w:firstLine="560" w:firstLineChars="200"/>
        <w:rPr>
          <w:rFonts w:hint="eastAsia" w:ascii="仿宋_GB2312" w:hAnsi="Times New Roman" w:eastAsia="仿宋_GB2312" w:cs="Times New Roman"/>
          <w:b w:val="0"/>
          <w:bCs w:val="0"/>
          <w:kern w:val="2"/>
          <w:sz w:val="28"/>
          <w:szCs w:val="28"/>
          <w:lang w:val="en-US" w:eastAsia="uk-UA" w:bidi="ar-SA"/>
        </w:rPr>
      </w:pPr>
      <w:r>
        <w:rPr>
          <w:rFonts w:hint="eastAsia" w:ascii="仿宋_GB2312" w:hAnsi="Times New Roman" w:eastAsia="仿宋_GB2312" w:cs="Times New Roman"/>
          <w:b w:val="0"/>
          <w:bCs w:val="0"/>
          <w:kern w:val="2"/>
          <w:sz w:val="28"/>
          <w:szCs w:val="28"/>
          <w:lang w:val="en-US" w:eastAsia="uk-UA" w:bidi="ar-SA"/>
        </w:rPr>
        <w:t>教室、食堂、公寓</w:t>
      </w:r>
      <w:r>
        <w:rPr>
          <w:rFonts w:hint="eastAsia" w:ascii="仿宋_GB2312" w:hAnsi="Times New Roman" w:eastAsia="仿宋_GB2312" w:cs="Times New Roman"/>
          <w:b w:val="0"/>
          <w:bCs w:val="0"/>
          <w:kern w:val="2"/>
          <w:sz w:val="28"/>
          <w:szCs w:val="28"/>
          <w:lang w:val="en-US" w:eastAsia="zh-CN" w:bidi="ar-SA"/>
        </w:rPr>
        <w:t>、训练馆</w:t>
      </w:r>
      <w:r>
        <w:rPr>
          <w:rFonts w:hint="eastAsia" w:ascii="仿宋_GB2312" w:hAnsi="Times New Roman" w:eastAsia="仿宋_GB2312" w:cs="Times New Roman"/>
          <w:b w:val="0"/>
          <w:bCs w:val="0"/>
          <w:kern w:val="2"/>
          <w:sz w:val="28"/>
          <w:szCs w:val="28"/>
          <w:lang w:val="en-US" w:eastAsia="uk-UA" w:bidi="ar-SA"/>
        </w:rPr>
        <w:t>等人员密集场所的疏散走道、楼梯和安全出口设置规范，数量满足需要，标识醒目，保持畅通；公共区域及逃生通道外窗金属护栏符合安全疏散和应急救援要求，无阻碍逃生通道的违章设施；人员密集场所周围无影响人员逃生和灭火救援的违章建筑。</w:t>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2021年</w:t>
      </w:r>
      <w:r>
        <w:rPr>
          <w:rFonts w:hint="eastAsia" w:ascii="仿宋_GB2312" w:hAnsi="Times New Roman" w:eastAsia="仿宋_GB2312" w:cs="Times New Roman"/>
          <w:b w:val="0"/>
          <w:bCs w:val="0"/>
          <w:kern w:val="2"/>
          <w:sz w:val="28"/>
          <w:szCs w:val="28"/>
          <w:lang w:val="en-US" w:eastAsia="uk-UA" w:bidi="ar-SA"/>
        </w:rPr>
        <w:t>，保卫科在做好校园常规安保工作的同时，积极配合学校</w:t>
      </w:r>
      <w:r>
        <w:rPr>
          <w:rFonts w:hint="eastAsia" w:ascii="仿宋_GB2312" w:hAnsi="Times New Roman" w:eastAsia="仿宋_GB2312" w:cs="Times New Roman"/>
          <w:b w:val="0"/>
          <w:bCs w:val="0"/>
          <w:kern w:val="2"/>
          <w:sz w:val="28"/>
          <w:szCs w:val="28"/>
          <w:lang w:val="en-US" w:eastAsia="zh-CN" w:bidi="ar-SA"/>
        </w:rPr>
        <w:t>在我校进行的“山西省体操锦标赛”、“山西省柔道锦标赛”、“大同市公安局辅警召录体育测试”</w:t>
      </w:r>
      <w:r>
        <w:rPr>
          <w:rFonts w:hint="eastAsia" w:ascii="仿宋_GB2312" w:hAnsi="Times New Roman" w:eastAsia="仿宋_GB2312" w:cs="Times New Roman"/>
          <w:b w:val="0"/>
          <w:bCs w:val="0"/>
          <w:kern w:val="2"/>
          <w:sz w:val="28"/>
          <w:szCs w:val="28"/>
          <w:lang w:val="en-US" w:eastAsia="uk-UA" w:bidi="ar-SA"/>
        </w:rPr>
        <w:t>、 “</w:t>
      </w:r>
      <w:r>
        <w:rPr>
          <w:rFonts w:hint="eastAsia" w:ascii="仿宋_GB2312" w:hAnsi="Times New Roman" w:eastAsia="仿宋_GB2312" w:cs="Times New Roman"/>
          <w:b w:val="0"/>
          <w:bCs w:val="0"/>
          <w:kern w:val="2"/>
          <w:sz w:val="28"/>
          <w:szCs w:val="28"/>
          <w:lang w:val="en-US" w:eastAsia="zh-CN" w:bidi="ar-SA"/>
        </w:rPr>
        <w:t>体育系统</w:t>
      </w:r>
      <w:r>
        <w:rPr>
          <w:rFonts w:hint="eastAsia" w:ascii="仿宋_GB2312" w:hAnsi="Times New Roman" w:eastAsia="仿宋_GB2312" w:cs="Times New Roman"/>
          <w:b w:val="0"/>
          <w:bCs w:val="0"/>
          <w:kern w:val="2"/>
          <w:sz w:val="28"/>
          <w:szCs w:val="28"/>
          <w:lang w:val="en-US" w:eastAsia="uk-UA" w:bidi="ar-SA"/>
        </w:rPr>
        <w:t>元旦晚会”等</w:t>
      </w:r>
      <w:r>
        <w:rPr>
          <w:rFonts w:hint="eastAsia" w:ascii="仿宋_GB2312" w:hAnsi="Times New Roman" w:eastAsia="仿宋_GB2312" w:cs="Times New Roman"/>
          <w:b w:val="0"/>
          <w:bCs w:val="0"/>
          <w:kern w:val="2"/>
          <w:sz w:val="28"/>
          <w:szCs w:val="28"/>
          <w:lang w:val="en-US" w:eastAsia="zh-CN" w:bidi="ar-SA"/>
        </w:rPr>
        <w:t>大型活动的安保</w:t>
      </w:r>
      <w:r>
        <w:rPr>
          <w:rFonts w:hint="eastAsia" w:ascii="仿宋_GB2312" w:hAnsi="Times New Roman" w:eastAsia="仿宋_GB2312" w:cs="Times New Roman"/>
          <w:b w:val="0"/>
          <w:bCs w:val="0"/>
          <w:kern w:val="2"/>
          <w:sz w:val="28"/>
          <w:szCs w:val="28"/>
          <w:lang w:val="en-US" w:eastAsia="uk-UA" w:bidi="ar-SA"/>
        </w:rPr>
        <w:t>工作，</w:t>
      </w:r>
      <w:r>
        <w:rPr>
          <w:rFonts w:hint="eastAsia" w:ascii="仿宋_GB2312" w:hAnsi="Times New Roman" w:eastAsia="仿宋_GB2312" w:cs="Times New Roman"/>
          <w:b w:val="0"/>
          <w:bCs w:val="0"/>
          <w:kern w:val="2"/>
          <w:sz w:val="28"/>
          <w:szCs w:val="28"/>
          <w:lang w:val="en-US" w:eastAsia="zh-CN" w:bidi="ar-SA"/>
        </w:rPr>
        <w:t>确保活动有序安全进行。</w:t>
      </w:r>
    </w:p>
    <w:p>
      <w:pPr>
        <w:pStyle w:val="2"/>
        <w:ind w:left="0" w:leftChars="0" w:firstLine="0" w:firstLineChars="0"/>
        <w:rPr>
          <w:rFonts w:hint="eastAsia"/>
          <w:lang w:val="en-US" w:eastAsia="zh-CN"/>
        </w:rPr>
      </w:pPr>
      <w:r>
        <w:rPr>
          <w:rFonts w:hint="eastAsia"/>
          <w:lang w:val="en-US" w:eastAsia="zh-CN"/>
        </w:rPr>
        <w:drawing>
          <wp:inline distT="0" distB="0" distL="114300" distR="114300">
            <wp:extent cx="2587625" cy="1694815"/>
            <wp:effectExtent l="0" t="0" r="3175" b="635"/>
            <wp:docPr id="35" name="图片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
                    <pic:cNvPicPr>
                      <a:picLocks noChangeAspect="1"/>
                    </pic:cNvPicPr>
                  </pic:nvPicPr>
                  <pic:blipFill>
                    <a:blip r:embed="rId69"/>
                    <a:stretch>
                      <a:fillRect/>
                    </a:stretch>
                  </pic:blipFill>
                  <pic:spPr>
                    <a:xfrm>
                      <a:off x="0" y="0"/>
                      <a:ext cx="2587625" cy="169481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595880" cy="1731010"/>
            <wp:effectExtent l="0" t="0" r="13970" b="2540"/>
            <wp:docPr id="37" name="图片 3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4"/>
                    <pic:cNvPicPr>
                      <a:picLocks noChangeAspect="1"/>
                    </pic:cNvPicPr>
                  </pic:nvPicPr>
                  <pic:blipFill>
                    <a:blip r:embed="rId70"/>
                    <a:stretch>
                      <a:fillRect/>
                    </a:stretch>
                  </pic:blipFill>
                  <pic:spPr>
                    <a:xfrm>
                      <a:off x="0" y="0"/>
                      <a:ext cx="2595880" cy="1731010"/>
                    </a:xfrm>
                    <a:prstGeom prst="rect">
                      <a:avLst/>
                    </a:prstGeom>
                  </pic:spPr>
                </pic:pic>
              </a:graphicData>
            </a:graphic>
          </wp:inline>
        </w:drawing>
      </w:r>
    </w:p>
    <w:p>
      <w:pPr>
        <w:jc w:val="center"/>
        <w:rPr>
          <w:rFonts w:hint="default"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6月23日副省长张复明检查我校安全生产工作</w:t>
      </w:r>
    </w:p>
    <w:p>
      <w:pPr>
        <w:spacing w:line="360" w:lineRule="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2575560" cy="1648460"/>
            <wp:effectExtent l="0" t="0" r="15240" b="8890"/>
            <wp:docPr id="34" name="图片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
                    <pic:cNvPicPr>
                      <a:picLocks noChangeAspect="1"/>
                    </pic:cNvPicPr>
                  </pic:nvPicPr>
                  <pic:blipFill>
                    <a:blip r:embed="rId71"/>
                    <a:stretch>
                      <a:fillRect/>
                    </a:stretch>
                  </pic:blipFill>
                  <pic:spPr>
                    <a:xfrm>
                      <a:off x="0" y="0"/>
                      <a:ext cx="2575560" cy="164846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default" w:ascii="仿宋_GB2312" w:hAnsi="仿宋_GB2312" w:eastAsia="仿宋_GB2312" w:cs="仿宋_GB2312"/>
          <w:sz w:val="28"/>
          <w:szCs w:val="28"/>
          <w:lang w:val="en-US" w:eastAsia="zh-CN"/>
        </w:rPr>
        <w:drawing>
          <wp:inline distT="0" distB="0" distL="114300" distR="114300">
            <wp:extent cx="2552065" cy="1631315"/>
            <wp:effectExtent l="0" t="0" r="635" b="6985"/>
            <wp:docPr id="153" name="图片 153" descr="bd207b4ab20cbe770412a284b39c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bd207b4ab20cbe770412a284b39ca65"/>
                    <pic:cNvPicPr>
                      <a:picLocks noChangeAspect="1"/>
                    </pic:cNvPicPr>
                  </pic:nvPicPr>
                  <pic:blipFill>
                    <a:blip r:embed="rId72"/>
                    <a:stretch>
                      <a:fillRect/>
                    </a:stretch>
                  </pic:blipFill>
                  <pic:spPr>
                    <a:xfrm>
                      <a:off x="0" y="0"/>
                      <a:ext cx="2552065" cy="1631315"/>
                    </a:xfrm>
                    <a:prstGeom prst="rect">
                      <a:avLst/>
                    </a:prstGeom>
                  </pic:spPr>
                </pic:pic>
              </a:graphicData>
            </a:graphic>
          </wp:inline>
        </w:drawing>
      </w:r>
    </w:p>
    <w:p>
      <w:pPr>
        <w:rPr>
          <w:rFonts w:hint="default"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 xml:space="preserve">9月29日召开安全服务保障会           </w:t>
      </w:r>
      <w:r>
        <w:rPr>
          <w:rFonts w:hint="eastAsia" w:ascii="仿宋_GB2312" w:hAnsi="Times New Roman" w:eastAsia="仿宋_GB2312" w:cs="Times New Roman"/>
          <w:b w:val="0"/>
          <w:bCs w:val="0"/>
          <w:kern w:val="2"/>
          <w:sz w:val="24"/>
          <w:szCs w:val="24"/>
          <w:lang w:val="en-US" w:eastAsia="zh-CN" w:bidi="ar-SA"/>
        </w:rPr>
        <w:t xml:space="preserve"> </w:t>
      </w:r>
      <w:r>
        <w:rPr>
          <w:rFonts w:hint="eastAsia" w:ascii="仿宋_GB2312" w:hAnsi="Times New Roman" w:eastAsia="仿宋_GB2312" w:cs="Times New Roman"/>
          <w:b w:val="0"/>
          <w:bCs w:val="0"/>
          <w:kern w:val="2"/>
          <w:sz w:val="28"/>
          <w:szCs w:val="28"/>
          <w:lang w:val="en-US" w:eastAsia="zh-CN" w:bidi="ar-SA"/>
        </w:rPr>
        <w:t>安全大检查</w:t>
      </w:r>
    </w:p>
    <w:p>
      <w:pPr>
        <w:ind w:firstLine="560" w:firstLineChars="200"/>
        <w:rPr>
          <w:rFonts w:hint="eastAsia" w:ascii="仿宋_GB2312" w:hAnsi="Times New Roman" w:eastAsia="仿宋_GB2312" w:cs="Times New Roman"/>
          <w:b w:val="0"/>
          <w:bCs w:val="0"/>
          <w:kern w:val="2"/>
          <w:sz w:val="28"/>
          <w:szCs w:val="28"/>
          <w:lang w:val="en-US" w:eastAsia="uk-UA" w:bidi="ar-SA"/>
        </w:rPr>
      </w:pPr>
      <w:r>
        <w:rPr>
          <w:rFonts w:hint="eastAsia" w:ascii="仿宋_GB2312" w:hAnsi="Times New Roman" w:eastAsia="仿宋_GB2312" w:cs="Times New Roman"/>
          <w:b w:val="0"/>
          <w:bCs w:val="0"/>
          <w:kern w:val="2"/>
          <w:sz w:val="28"/>
          <w:szCs w:val="28"/>
          <w:lang w:val="en-US" w:eastAsia="zh-CN" w:bidi="ar-SA"/>
        </w:rPr>
        <w:t>4、</w:t>
      </w:r>
      <w:r>
        <w:rPr>
          <w:rFonts w:hint="eastAsia" w:ascii="仿宋_GB2312" w:hAnsi="Times New Roman" w:eastAsia="仿宋_GB2312" w:cs="Times New Roman"/>
          <w:b w:val="0"/>
          <w:bCs w:val="0"/>
          <w:kern w:val="2"/>
          <w:sz w:val="28"/>
          <w:szCs w:val="28"/>
          <w:lang w:val="en-US" w:eastAsia="uk-UA" w:bidi="ar-SA"/>
        </w:rPr>
        <w:t>学校周边安全。</w:t>
      </w:r>
      <w:r>
        <w:rPr>
          <w:rFonts w:hint="eastAsia" w:ascii="仿宋_GB2312" w:hAnsi="Times New Roman" w:eastAsia="仿宋_GB2312" w:cs="Times New Roman"/>
          <w:b w:val="0"/>
          <w:bCs w:val="0"/>
          <w:kern w:val="2"/>
          <w:sz w:val="28"/>
          <w:szCs w:val="28"/>
          <w:lang w:val="en-US" w:eastAsia="zh-CN" w:bidi="ar-SA"/>
        </w:rPr>
        <w:t>我校周围建筑少，无人员聚集生活区</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在当前的大环境下，</w:t>
      </w:r>
      <w:r>
        <w:rPr>
          <w:rFonts w:hint="eastAsia" w:ascii="仿宋_GB2312" w:hAnsi="Times New Roman" w:eastAsia="仿宋_GB2312" w:cs="Times New Roman"/>
          <w:b w:val="0"/>
          <w:bCs w:val="0"/>
          <w:kern w:val="2"/>
          <w:sz w:val="28"/>
          <w:szCs w:val="28"/>
          <w:lang w:val="en-US" w:eastAsia="uk-UA" w:bidi="ar-SA"/>
        </w:rPr>
        <w:t>校园内及周边的治安环境</w:t>
      </w:r>
      <w:r>
        <w:rPr>
          <w:rFonts w:hint="eastAsia" w:ascii="仿宋_GB2312" w:hAnsi="Times New Roman" w:eastAsia="仿宋_GB2312" w:cs="Times New Roman"/>
          <w:b w:val="0"/>
          <w:bCs w:val="0"/>
          <w:kern w:val="2"/>
          <w:sz w:val="28"/>
          <w:szCs w:val="28"/>
          <w:lang w:val="en-US" w:eastAsia="zh-CN" w:bidi="ar-SA"/>
        </w:rPr>
        <w:t>相对安全</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同时在南门加装了防撞设施，东门外规划了消防专用车道，门卫安保人员配备了必要的安保设施、设备；门卫安保人员不定期进行安全教育和安全演练；全年无治安案件发生</w:t>
      </w:r>
      <w:r>
        <w:rPr>
          <w:rFonts w:hint="eastAsia" w:ascii="仿宋_GB2312" w:hAnsi="Times New Roman" w:eastAsia="仿宋_GB2312" w:cs="Times New Roman"/>
          <w:b w:val="0"/>
          <w:bCs w:val="0"/>
          <w:kern w:val="2"/>
          <w:sz w:val="28"/>
          <w:szCs w:val="28"/>
          <w:lang w:val="en-US" w:eastAsia="uk-UA" w:bidi="ar-SA"/>
        </w:rPr>
        <w:t>，无财产和公物丢失情况</w:t>
      </w:r>
      <w:r>
        <w:rPr>
          <w:rFonts w:hint="eastAsia" w:ascii="仿宋_GB2312" w:hAnsi="Times New Roman" w:eastAsia="仿宋_GB2312" w:cs="Times New Roman"/>
          <w:b w:val="0"/>
          <w:bCs w:val="0"/>
          <w:kern w:val="2"/>
          <w:sz w:val="28"/>
          <w:szCs w:val="28"/>
          <w:lang w:val="en-US" w:eastAsia="zh-CN" w:bidi="ar-SA"/>
        </w:rPr>
        <w:t>。</w:t>
      </w:r>
    </w:p>
    <w:p>
      <w:pPr>
        <w:numPr>
          <w:ilvl w:val="0"/>
          <w:numId w:val="0"/>
        </w:numPr>
        <w:spacing w:line="360" w:lineRule="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2580640" cy="1715770"/>
            <wp:effectExtent l="0" t="0" r="10160" b="17780"/>
            <wp:docPr id="154" name="图片 154" descr="4ec6f722a75e6922a82d416ab8c1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4ec6f722a75e6922a82d416ab8c1b16"/>
                    <pic:cNvPicPr>
                      <a:picLocks noChangeAspect="1"/>
                    </pic:cNvPicPr>
                  </pic:nvPicPr>
                  <pic:blipFill>
                    <a:blip r:embed="rId73"/>
                    <a:stretch>
                      <a:fillRect/>
                    </a:stretch>
                  </pic:blipFill>
                  <pic:spPr>
                    <a:xfrm>
                      <a:off x="0" y="0"/>
                      <a:ext cx="2580640" cy="171577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eastAsia="zh-CN"/>
        </w:rPr>
        <w:drawing>
          <wp:inline distT="0" distB="0" distL="114300" distR="114300">
            <wp:extent cx="2577465" cy="1725930"/>
            <wp:effectExtent l="0" t="0" r="13335" b="7620"/>
            <wp:docPr id="155" name="图片 155" descr="8e835bb08ce16d1ad828d0f0d913b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8e835bb08ce16d1ad828d0f0d913be7"/>
                    <pic:cNvPicPr>
                      <a:picLocks noChangeAspect="1"/>
                    </pic:cNvPicPr>
                  </pic:nvPicPr>
                  <pic:blipFill>
                    <a:blip r:embed="rId74"/>
                    <a:stretch>
                      <a:fillRect/>
                    </a:stretch>
                  </pic:blipFill>
                  <pic:spPr>
                    <a:xfrm>
                      <a:off x="0" y="0"/>
                      <a:ext cx="2577465" cy="1725930"/>
                    </a:xfrm>
                    <a:prstGeom prst="rect">
                      <a:avLst/>
                    </a:prstGeom>
                  </pic:spPr>
                </pic:pic>
              </a:graphicData>
            </a:graphic>
          </wp:inline>
        </w:drawing>
      </w:r>
    </w:p>
    <w:p>
      <w:pPr>
        <w:ind w:firstLine="560" w:firstLineChars="200"/>
        <w:rPr>
          <w:rFonts w:hint="default"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“一键报警”装置                  门卫安保设备</w:t>
      </w:r>
    </w:p>
    <w:p>
      <w:pPr>
        <w:numPr>
          <w:ilvl w:val="0"/>
          <w:numId w:val="0"/>
        </w:numPr>
        <w:spacing w:line="360" w:lineRule="auto"/>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2587625" cy="1657350"/>
            <wp:effectExtent l="0" t="0" r="3175" b="0"/>
            <wp:docPr id="156" name="图片 156" descr="b535aee5660dbbe9973939e4fdf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b535aee5660dbbe9973939e4fdf2222"/>
                    <pic:cNvPicPr>
                      <a:picLocks noChangeAspect="1"/>
                    </pic:cNvPicPr>
                  </pic:nvPicPr>
                  <pic:blipFill>
                    <a:blip r:embed="rId75"/>
                    <a:stretch>
                      <a:fillRect/>
                    </a:stretch>
                  </pic:blipFill>
                  <pic:spPr>
                    <a:xfrm>
                      <a:off x="0" y="0"/>
                      <a:ext cx="2587625" cy="1657350"/>
                    </a:xfrm>
                    <a:prstGeom prst="rect">
                      <a:avLst/>
                    </a:prstGeom>
                  </pic:spPr>
                </pic:pic>
              </a:graphicData>
            </a:graphic>
          </wp:inline>
        </w:drawing>
      </w:r>
      <w:r>
        <w:rPr>
          <w:rFonts w:hint="eastAsia" w:ascii="宋体" w:hAnsi="宋体"/>
          <w:szCs w:val="21"/>
          <w:lang w:val="en-US" w:eastAsia="zh-CN"/>
        </w:rPr>
        <w:t xml:space="preserve"> </w:t>
      </w:r>
      <w:r>
        <w:rPr>
          <w:rFonts w:hint="eastAsia" w:ascii="宋体" w:hAnsi="宋体" w:eastAsia="宋体"/>
          <w:szCs w:val="21"/>
          <w:lang w:eastAsia="zh-CN"/>
        </w:rPr>
        <w:drawing>
          <wp:inline distT="0" distB="0" distL="114300" distR="114300">
            <wp:extent cx="2592705" cy="1621790"/>
            <wp:effectExtent l="0" t="0" r="17145" b="16510"/>
            <wp:docPr id="157" name="图片 157" descr="994002939f93fc22e3b185ca9feb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994002939f93fc22e3b185ca9feb721"/>
                    <pic:cNvPicPr>
                      <a:picLocks noChangeAspect="1"/>
                    </pic:cNvPicPr>
                  </pic:nvPicPr>
                  <pic:blipFill>
                    <a:blip r:embed="rId76"/>
                    <a:stretch>
                      <a:fillRect/>
                    </a:stretch>
                  </pic:blipFill>
                  <pic:spPr>
                    <a:xfrm>
                      <a:off x="0" y="0"/>
                      <a:ext cx="2592705" cy="1621790"/>
                    </a:xfrm>
                    <a:prstGeom prst="rect">
                      <a:avLst/>
                    </a:prstGeom>
                  </pic:spPr>
                </pic:pic>
              </a:graphicData>
            </a:graphic>
          </wp:inline>
        </w:drawing>
      </w:r>
    </w:p>
    <w:p>
      <w:pPr>
        <w:ind w:firstLine="1120" w:firstLineChars="4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 xml:space="preserve">学校南门                       学校监控室 </w:t>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5、</w:t>
      </w:r>
      <w:r>
        <w:rPr>
          <w:rFonts w:hint="eastAsia" w:ascii="仿宋_GB2312" w:hAnsi="Times New Roman" w:eastAsia="仿宋_GB2312" w:cs="Times New Roman"/>
          <w:b w:val="0"/>
          <w:bCs w:val="0"/>
          <w:kern w:val="2"/>
          <w:sz w:val="28"/>
          <w:szCs w:val="28"/>
          <w:lang w:val="en-US" w:eastAsia="uk-UA" w:bidi="ar-SA"/>
        </w:rPr>
        <w:t>食品卫生安全</w:t>
      </w:r>
      <w:r>
        <w:rPr>
          <w:rFonts w:hint="eastAsia" w:ascii="仿宋_GB2312" w:hAnsi="Times New Roman" w:eastAsia="仿宋_GB2312" w:cs="Times New Roman"/>
          <w:b w:val="0"/>
          <w:bCs w:val="0"/>
          <w:kern w:val="2"/>
          <w:sz w:val="28"/>
          <w:szCs w:val="28"/>
          <w:lang w:val="en-US" w:eastAsia="zh-CN" w:bidi="ar-SA"/>
        </w:rPr>
        <w:t>。“民以食为天，食以安为先”，食品安全工作是学校安全生产管理目标和年度安全生产计划中的重要事项之一。膳食科作为学校食堂的管理部门，按照学校要求，认真组织、精细管理、强化落实。主要以三个方面为抓手开展工作:一是学校与大型餐饮企业（山西毅成酒店管理公司）实施校企合作，将学校食堂委托餐饮公司经营管理，膳食科负责监督检查。在双方合作下，实施专业化管理，食堂管理、经营规范有序，达到餐饮评级“B级”。二是建立健全管理制度。管理制度涉及:食品安全责任制、食品安全事件应急预案、膳食科工作职责、膳食科科长岗位职责、膳食科环境卫生管理员职责、食品安全监督员岗位职责、食堂安全检查卫生管理制度条款、消毒制度、食堂各项操作规程、食堂文明用餐制度等内容。三是在食品安全中关注兴奋剂监测，按期参加全国和省级反兴奋剂培训，严格按照相关规定筛选食材，防止食源性兴奋剂摄入。四是量化考核，逐项落实。对照管理事项，采取定期检查和不定期抽查，使得食堂管理常态化、规范化，养成良好的工作习惯。</w:t>
      </w:r>
    </w:p>
    <w:p>
      <w:pPr>
        <w:numPr>
          <w:ilvl w:val="0"/>
          <w:numId w:val="0"/>
        </w:numP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2407285" cy="1718945"/>
            <wp:effectExtent l="0" t="0" r="12065" b="14605"/>
            <wp:docPr id="158" name="图片 158" descr="7b1aacf63cf523e7902734be272c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7b1aacf63cf523e7902734be272c243"/>
                    <pic:cNvPicPr>
                      <a:picLocks noChangeAspect="1"/>
                    </pic:cNvPicPr>
                  </pic:nvPicPr>
                  <pic:blipFill>
                    <a:blip r:embed="rId77"/>
                    <a:stretch>
                      <a:fillRect/>
                    </a:stretch>
                  </pic:blipFill>
                  <pic:spPr>
                    <a:xfrm>
                      <a:off x="0" y="0"/>
                      <a:ext cx="2407285" cy="1718945"/>
                    </a:xfrm>
                    <a:prstGeom prst="rect">
                      <a:avLst/>
                    </a:prstGeom>
                  </pic:spPr>
                </pic:pic>
              </a:graphicData>
            </a:graphic>
          </wp:inline>
        </w:draw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drawing>
          <wp:inline distT="0" distB="0" distL="114300" distR="114300">
            <wp:extent cx="2698750" cy="1720850"/>
            <wp:effectExtent l="0" t="0" r="6350" b="12700"/>
            <wp:docPr id="36" name="图片 36" descr="96ee7de54d199fad4fbd668de9e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96ee7de54d199fad4fbd668de9e1908"/>
                    <pic:cNvPicPr>
                      <a:picLocks noChangeAspect="1"/>
                    </pic:cNvPicPr>
                  </pic:nvPicPr>
                  <pic:blipFill>
                    <a:blip r:embed="rId78"/>
                    <a:stretch>
                      <a:fillRect/>
                    </a:stretch>
                  </pic:blipFill>
                  <pic:spPr>
                    <a:xfrm>
                      <a:off x="0" y="0"/>
                      <a:ext cx="2698750" cy="1720850"/>
                    </a:xfrm>
                    <a:prstGeom prst="rect">
                      <a:avLst/>
                    </a:prstGeom>
                  </pic:spPr>
                </pic:pic>
              </a:graphicData>
            </a:graphic>
          </wp:inline>
        </w:drawing>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食堂从业人员健康证                 食堂后厨</w:t>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6、运动枪弹库安全。本年度继续强化运动枪弹库安全，成立了运动枪弹库安全组织机构，明确责任，建立健全了运动枪弹库的规章制度，规范运动枪弹审批领用流程，细化运动枪弹出入库登记制度等；运动枪弹库安排安保人员24小时值守，完善视频监控并安装红外线报警装置；对射击教练员和涉枪涉弹人员经常进行安全教育，并不定期对运动枪弹库进行安全检查，发现有违规违纪的严肃处理；保卫科还负责运动枪弹的购买和运输，负责2021年“山西省第十六届省运会射击资格赛”和平时运动员到省射击射箭水上中心集训期间的办理枪弹携运证和运输押运；负责每月的子弹消耗上报和日常子弹消耗的清点；负责为新购买的运动枪支办理持枪证等工作。</w:t>
      </w:r>
    </w:p>
    <w:p>
      <w:pPr>
        <w:numPr>
          <w:ilvl w:val="0"/>
          <w:numId w:val="0"/>
        </w:numPr>
        <w:spacing w:line="360"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2580005" cy="2000250"/>
            <wp:effectExtent l="0" t="0" r="10795" b="0"/>
            <wp:docPr id="159" name="图片 159" descr="8440eb6b6fb9729fca1ee2839c9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8440eb6b6fb9729fca1ee2839c91854"/>
                    <pic:cNvPicPr>
                      <a:picLocks noChangeAspect="1"/>
                    </pic:cNvPicPr>
                  </pic:nvPicPr>
                  <pic:blipFill>
                    <a:blip r:embed="rId79"/>
                    <a:stretch>
                      <a:fillRect/>
                    </a:stretch>
                  </pic:blipFill>
                  <pic:spPr>
                    <a:xfrm>
                      <a:off x="0" y="0"/>
                      <a:ext cx="2580005" cy="200025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val="en-US" w:eastAsia="zh-CN"/>
        </w:rPr>
        <w:drawing>
          <wp:inline distT="0" distB="0" distL="114300" distR="114300">
            <wp:extent cx="2586990" cy="1965960"/>
            <wp:effectExtent l="0" t="0" r="3810" b="15240"/>
            <wp:docPr id="160" name="图片 160" descr="06dc30b0ada4ac193a62215c41e7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06dc30b0ada4ac193a62215c41e729b"/>
                    <pic:cNvPicPr>
                      <a:picLocks noChangeAspect="1"/>
                    </pic:cNvPicPr>
                  </pic:nvPicPr>
                  <pic:blipFill>
                    <a:blip r:embed="rId80"/>
                    <a:stretch>
                      <a:fillRect/>
                    </a:stretch>
                  </pic:blipFill>
                  <pic:spPr>
                    <a:xfrm>
                      <a:off x="0" y="0"/>
                      <a:ext cx="2586990" cy="1965960"/>
                    </a:xfrm>
                    <a:prstGeom prst="rect">
                      <a:avLst/>
                    </a:prstGeom>
                  </pic:spPr>
                </pic:pic>
              </a:graphicData>
            </a:graphic>
          </wp:inline>
        </w:drawing>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运动枪弹库组织机构图             运动枪弹库制度</w:t>
      </w:r>
    </w:p>
    <w:p>
      <w:pPr>
        <w:numPr>
          <w:ilvl w:val="0"/>
          <w:numId w:val="0"/>
        </w:numPr>
        <w:spacing w:line="360" w:lineRule="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2587625" cy="1869440"/>
            <wp:effectExtent l="0" t="0" r="3175" b="16510"/>
            <wp:docPr id="161" name="图片 161" descr="abdb83b61d94b5ddaba875372fa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abdb83b61d94b5ddaba875372fa5428"/>
                    <pic:cNvPicPr>
                      <a:picLocks noChangeAspect="1"/>
                    </pic:cNvPicPr>
                  </pic:nvPicPr>
                  <pic:blipFill>
                    <a:blip r:embed="rId81"/>
                    <a:stretch>
                      <a:fillRect/>
                    </a:stretch>
                  </pic:blipFill>
                  <pic:spPr>
                    <a:xfrm>
                      <a:off x="0" y="0"/>
                      <a:ext cx="2587625" cy="186944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val="en-US" w:eastAsia="zh-CN"/>
        </w:rPr>
        <w:drawing>
          <wp:inline distT="0" distB="0" distL="114300" distR="114300">
            <wp:extent cx="2573020" cy="1864360"/>
            <wp:effectExtent l="0" t="0" r="17780" b="2540"/>
            <wp:docPr id="162" name="图片 162" descr="0bfdc94a93b5b007ae5324b7fb3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0bfdc94a93b5b007ae5324b7fb35936"/>
                    <pic:cNvPicPr>
                      <a:picLocks noChangeAspect="1"/>
                    </pic:cNvPicPr>
                  </pic:nvPicPr>
                  <pic:blipFill>
                    <a:blip r:embed="rId82"/>
                    <a:stretch>
                      <a:fillRect/>
                    </a:stretch>
                  </pic:blipFill>
                  <pic:spPr>
                    <a:xfrm>
                      <a:off x="0" y="0"/>
                      <a:ext cx="2573020" cy="1864360"/>
                    </a:xfrm>
                    <a:prstGeom prst="rect">
                      <a:avLst/>
                    </a:prstGeom>
                  </pic:spPr>
                </pic:pic>
              </a:graphicData>
            </a:graphic>
          </wp:inline>
        </w:drawing>
      </w:r>
    </w:p>
    <w:p>
      <w:pPr>
        <w:ind w:firstLine="1120" w:firstLineChars="400"/>
        <w:rPr>
          <w:rFonts w:hint="default"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运动枪弹库                     射击队训练</w:t>
      </w:r>
    </w:p>
    <w:p>
      <w:pPr>
        <w:ind w:firstLine="560" w:firstLineChars="200"/>
        <w:rPr>
          <w:rFonts w:hint="eastAsia" w:ascii="仿宋_GB2312" w:hAnsi="Times New Roman" w:eastAsia="仿宋_GB2312" w:cs="Times New Roman"/>
          <w:b w:val="0"/>
          <w:bCs w:val="0"/>
          <w:kern w:val="2"/>
          <w:sz w:val="28"/>
          <w:szCs w:val="28"/>
          <w:lang w:val="en-US" w:eastAsia="uk-UA" w:bidi="ar-SA"/>
        </w:rPr>
      </w:pPr>
      <w:r>
        <w:rPr>
          <w:rFonts w:hint="eastAsia" w:ascii="仿宋_GB2312" w:hAnsi="Times New Roman" w:eastAsia="仿宋_GB2312" w:cs="Times New Roman"/>
          <w:b w:val="0"/>
          <w:bCs w:val="0"/>
          <w:kern w:val="2"/>
          <w:sz w:val="28"/>
          <w:szCs w:val="28"/>
          <w:lang w:val="en-US" w:eastAsia="zh-CN" w:bidi="ar-SA"/>
        </w:rPr>
        <w:t>7</w:t>
      </w:r>
      <w:r>
        <w:rPr>
          <w:rFonts w:hint="eastAsia" w:ascii="仿宋_GB2312" w:hAnsi="Times New Roman" w:eastAsia="仿宋_GB2312" w:cs="Times New Roman"/>
          <w:b w:val="0"/>
          <w:bCs w:val="0"/>
          <w:kern w:val="2"/>
          <w:sz w:val="28"/>
          <w:szCs w:val="28"/>
          <w:lang w:val="en-US" w:eastAsia="uk-UA" w:bidi="ar-SA"/>
        </w:rPr>
        <w:t>、交通安全。为把交通安全工作落实到位，进一步消除校园内交通安全隐患，净化校园交通环境。</w:t>
      </w:r>
      <w:r>
        <w:rPr>
          <w:rFonts w:hint="eastAsia" w:ascii="仿宋_GB2312" w:hAnsi="Times New Roman" w:eastAsia="仿宋_GB2312" w:cs="Times New Roman"/>
          <w:b w:val="0"/>
          <w:bCs w:val="0"/>
          <w:kern w:val="2"/>
          <w:sz w:val="28"/>
          <w:szCs w:val="28"/>
          <w:lang w:val="en-US" w:eastAsia="zh-CN" w:bidi="ar-SA"/>
        </w:rPr>
        <w:t>校园内交通安全标语醒目，交通指示清楚，校园内设有限速标志，限速15S，部分人员密集地段限速5S；学校东门有门禁和道闸系统；教职员工车辆和进出校园的车辆备案登记，校园内车辆停放有序</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对违规停放的车辆和校园内超速行驶的车辆人员严肃处理；</w:t>
      </w:r>
      <w:r>
        <w:rPr>
          <w:rFonts w:hint="eastAsia" w:ascii="仿宋_GB2312" w:hAnsi="Times New Roman" w:eastAsia="仿宋_GB2312" w:cs="Times New Roman"/>
          <w:b w:val="0"/>
          <w:bCs w:val="0"/>
          <w:kern w:val="2"/>
          <w:sz w:val="28"/>
          <w:szCs w:val="28"/>
          <w:lang w:val="en-US" w:eastAsia="uk-UA" w:bidi="ar-SA"/>
        </w:rPr>
        <w:t>全年校内无交通事故。</w:t>
      </w:r>
    </w:p>
    <w:p>
      <w:pPr>
        <w:ind w:firstLine="560" w:firstLineChars="200"/>
        <w:jc w:val="left"/>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8</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特种</w:t>
      </w:r>
      <w:r>
        <w:rPr>
          <w:rFonts w:hint="eastAsia" w:ascii="仿宋_GB2312" w:hAnsi="Times New Roman" w:eastAsia="仿宋_GB2312" w:cs="Times New Roman"/>
          <w:b w:val="0"/>
          <w:bCs w:val="0"/>
          <w:kern w:val="2"/>
          <w:sz w:val="28"/>
          <w:szCs w:val="28"/>
          <w:lang w:val="en-US" w:eastAsia="uk-UA" w:bidi="ar-SA"/>
        </w:rPr>
        <w:t>设备安全。大同市</w:t>
      </w:r>
      <w:r>
        <w:rPr>
          <w:rFonts w:hint="eastAsia" w:ascii="仿宋_GB2312" w:hAnsi="Times New Roman" w:eastAsia="仿宋_GB2312" w:cs="Times New Roman"/>
          <w:b w:val="0"/>
          <w:bCs w:val="0"/>
          <w:kern w:val="2"/>
          <w:sz w:val="28"/>
          <w:szCs w:val="28"/>
          <w:lang w:val="en-US" w:eastAsia="zh-CN" w:bidi="ar-SA"/>
        </w:rPr>
        <w:t>体育运动</w:t>
      </w:r>
      <w:r>
        <w:rPr>
          <w:rFonts w:hint="eastAsia" w:ascii="仿宋_GB2312" w:hAnsi="Times New Roman" w:eastAsia="仿宋_GB2312" w:cs="Times New Roman"/>
          <w:b w:val="0"/>
          <w:bCs w:val="0"/>
          <w:kern w:val="2"/>
          <w:sz w:val="28"/>
          <w:szCs w:val="28"/>
          <w:lang w:val="en-US" w:eastAsia="uk-UA" w:bidi="ar-SA"/>
        </w:rPr>
        <w:t>学校成立特种设备安全生产工作领导组，统一领导全校特种设备安全检查工作，研究解决特种设备运行中出现的问题，组织协调开展特种设备安全生产大检查工作。对锅炉、压力容器管道、配电房、电梯、各类电气设备、电源线路等各类设施设备严格管理、定期检查维护，本单位安全管理人员、特种作业操作人员</w:t>
      </w:r>
      <w:r>
        <w:rPr>
          <w:rFonts w:hint="eastAsia" w:ascii="仿宋_GB2312" w:hAnsi="Times New Roman" w:eastAsia="仿宋_GB2312" w:cs="Times New Roman"/>
          <w:b w:val="0"/>
          <w:bCs w:val="0"/>
          <w:kern w:val="2"/>
          <w:sz w:val="28"/>
          <w:szCs w:val="28"/>
          <w:lang w:val="en-US" w:eastAsia="zh-CN" w:bidi="ar-SA"/>
        </w:rPr>
        <w:t>进行上岗前培训、</w:t>
      </w:r>
      <w:r>
        <w:rPr>
          <w:rFonts w:hint="eastAsia" w:ascii="仿宋_GB2312" w:hAnsi="Times New Roman" w:eastAsia="仿宋_GB2312" w:cs="Times New Roman"/>
          <w:b w:val="0"/>
          <w:bCs w:val="0"/>
          <w:kern w:val="2"/>
          <w:sz w:val="28"/>
          <w:szCs w:val="28"/>
          <w:lang w:val="en-US" w:eastAsia="uk-UA" w:bidi="ar-SA"/>
        </w:rPr>
        <w:t>持证上岗；</w:t>
      </w:r>
      <w:r>
        <w:rPr>
          <w:rFonts w:hint="eastAsia" w:ascii="仿宋_GB2312" w:hAnsi="Times New Roman" w:eastAsia="仿宋_GB2312" w:cs="Times New Roman"/>
          <w:b w:val="0"/>
          <w:bCs w:val="0"/>
          <w:kern w:val="2"/>
          <w:sz w:val="28"/>
          <w:szCs w:val="28"/>
          <w:lang w:val="en-US" w:eastAsia="zh-CN" w:bidi="ar-SA"/>
        </w:rPr>
        <w:t>并经常进行安全操作演练，</w:t>
      </w:r>
    </w:p>
    <w:p>
      <w:pPr>
        <w:jc w:val="left"/>
        <w:rPr>
          <w:rFonts w:hint="eastAsia" w:ascii="仿宋_GB2312" w:hAnsi="仿宋_GB2312" w:eastAsia="仿宋_GB2312" w:cs="仿宋_GB2312"/>
          <w:sz w:val="28"/>
          <w:szCs w:val="28"/>
          <w:lang w:val="en-US" w:eastAsia="zh-CN"/>
        </w:rPr>
      </w:pPr>
      <w:r>
        <w:rPr>
          <w:rFonts w:hint="eastAsia" w:ascii="仿宋_GB2312" w:hAnsi="Times New Roman" w:eastAsia="仿宋_GB2312" w:cs="Times New Roman"/>
          <w:b w:val="0"/>
          <w:bCs w:val="0"/>
          <w:kern w:val="2"/>
          <w:sz w:val="28"/>
          <w:szCs w:val="28"/>
          <w:lang w:val="en-US" w:eastAsia="zh-CN" w:bidi="ar-SA"/>
        </w:rPr>
        <w:t>易燃区域配备灭火设施设备</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确</w:t>
      </w:r>
      <w:r>
        <w:rPr>
          <w:rFonts w:hint="eastAsia" w:ascii="仿宋_GB2312" w:hAnsi="Times New Roman" w:eastAsia="仿宋_GB2312" w:cs="Times New Roman"/>
          <w:b w:val="0"/>
          <w:bCs w:val="0"/>
          <w:kern w:val="2"/>
          <w:sz w:val="28"/>
          <w:szCs w:val="28"/>
          <w:lang w:val="en-US" w:eastAsia="uk-UA" w:bidi="ar-SA"/>
        </w:rPr>
        <w:t>保障生产生活需要。</w:t>
      </w:r>
      <w:r>
        <w:rPr>
          <w:rFonts w:hint="eastAsia" w:ascii="仿宋_GB2312" w:hAnsi="仿宋_GB2312" w:eastAsia="仿宋_GB2312" w:cs="仿宋_GB2312"/>
          <w:sz w:val="28"/>
          <w:szCs w:val="28"/>
          <w:lang w:val="en-US" w:eastAsia="zh-CN"/>
        </w:rPr>
        <w:drawing>
          <wp:inline distT="0" distB="0" distL="114300" distR="114300">
            <wp:extent cx="2557145" cy="1606550"/>
            <wp:effectExtent l="0" t="0" r="14605" b="12700"/>
            <wp:docPr id="163" name="图片 163" descr="29f6e47cb8e94e84f37492fa1a5f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29f6e47cb8e94e84f37492fa1a5f488"/>
                    <pic:cNvPicPr>
                      <a:picLocks noChangeAspect="1"/>
                    </pic:cNvPicPr>
                  </pic:nvPicPr>
                  <pic:blipFill>
                    <a:blip r:embed="rId83"/>
                    <a:stretch>
                      <a:fillRect/>
                    </a:stretch>
                  </pic:blipFill>
                  <pic:spPr>
                    <a:xfrm>
                      <a:off x="0" y="0"/>
                      <a:ext cx="2557145" cy="160655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val="en-US" w:eastAsia="zh-CN"/>
        </w:rPr>
        <w:drawing>
          <wp:inline distT="0" distB="0" distL="114300" distR="114300">
            <wp:extent cx="2554605" cy="1586865"/>
            <wp:effectExtent l="0" t="0" r="17145" b="13335"/>
            <wp:docPr id="164" name="图片 164" descr="4a7d4a6e8163aa2816868d07e722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4a7d4a6e8163aa2816868d07e7227ab"/>
                    <pic:cNvPicPr>
                      <a:picLocks noChangeAspect="1"/>
                    </pic:cNvPicPr>
                  </pic:nvPicPr>
                  <pic:blipFill>
                    <a:blip r:embed="rId84"/>
                    <a:stretch>
                      <a:fillRect/>
                    </a:stretch>
                  </pic:blipFill>
                  <pic:spPr>
                    <a:xfrm>
                      <a:off x="0" y="0"/>
                      <a:ext cx="2554605" cy="1586865"/>
                    </a:xfrm>
                    <a:prstGeom prst="rect">
                      <a:avLst/>
                    </a:prstGeom>
                  </pic:spPr>
                </pic:pic>
              </a:graphicData>
            </a:graphic>
          </wp:inline>
        </w:drawing>
      </w:r>
    </w:p>
    <w:p>
      <w:pPr>
        <w:rPr>
          <w:rFonts w:hint="eastAsia" w:ascii="仿宋_GB2312" w:hAnsi="Times New Roman" w:eastAsia="仿宋_GB2312" w:cs="Times New Roman"/>
          <w:b w:val="0"/>
          <w:bCs w:val="0"/>
          <w:kern w:val="2"/>
          <w:sz w:val="28"/>
          <w:szCs w:val="28"/>
          <w:lang w:val="en-US" w:eastAsia="zh-CN" w:bidi="ar-SA"/>
        </w:rPr>
      </w:pPr>
      <w:r>
        <w:rPr>
          <w:rFonts w:hint="eastAsia" w:eastAsia="宋体"/>
          <w:lang w:val="en-US" w:eastAsia="zh-CN"/>
        </w:rPr>
        <w:t xml:space="preserve">        </w:t>
      </w:r>
      <w:r>
        <w:rPr>
          <w:rFonts w:hint="eastAsia" w:ascii="仿宋_GB2312" w:hAnsi="Times New Roman" w:eastAsia="仿宋_GB2312" w:cs="Times New Roman"/>
          <w:b w:val="0"/>
          <w:bCs w:val="0"/>
          <w:kern w:val="2"/>
          <w:sz w:val="28"/>
          <w:szCs w:val="28"/>
          <w:lang w:val="en-US" w:eastAsia="zh-CN" w:bidi="ar-SA"/>
        </w:rPr>
        <w:t>安保人员电梯演练              食堂人员消防培训</w:t>
      </w:r>
    </w:p>
    <w:p>
      <w:pP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2512695" cy="1760855"/>
            <wp:effectExtent l="0" t="0" r="1905" b="10795"/>
            <wp:docPr id="165" name="图片 165" descr="1b1a1163b84e071ea25921eabccb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1b1a1163b84e071ea25921eabccb835"/>
                    <pic:cNvPicPr>
                      <a:picLocks noChangeAspect="1"/>
                    </pic:cNvPicPr>
                  </pic:nvPicPr>
                  <pic:blipFill>
                    <a:blip r:embed="rId85"/>
                    <a:stretch>
                      <a:fillRect/>
                    </a:stretch>
                  </pic:blipFill>
                  <pic:spPr>
                    <a:xfrm>
                      <a:off x="0" y="0"/>
                      <a:ext cx="2512695" cy="1760855"/>
                    </a:xfrm>
                    <a:prstGeom prst="rect">
                      <a:avLst/>
                    </a:prstGeom>
                  </pic:spPr>
                </pic:pic>
              </a:graphicData>
            </a:graphic>
          </wp:inline>
        </w:drawing>
      </w:r>
      <w:r>
        <w:rPr>
          <w:rFonts w:hint="eastAsia" w:ascii="宋体" w:hAnsi="宋体"/>
          <w:szCs w:val="21"/>
          <w:lang w:val="en-US" w:eastAsia="zh-CN"/>
        </w:rPr>
        <w:t xml:space="preserve">  </w:t>
      </w:r>
      <w:r>
        <w:rPr>
          <w:rFonts w:hint="eastAsia" w:ascii="宋体" w:hAnsi="宋体" w:eastAsia="宋体"/>
          <w:szCs w:val="21"/>
          <w:lang w:eastAsia="zh-CN"/>
        </w:rPr>
        <w:drawing>
          <wp:inline distT="0" distB="0" distL="114300" distR="114300">
            <wp:extent cx="2573655" cy="1762125"/>
            <wp:effectExtent l="0" t="0" r="17145" b="9525"/>
            <wp:docPr id="7" name="图片 7" descr="2a459eda0152b04806b1bc4410f1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a459eda0152b04806b1bc4410f17f0"/>
                    <pic:cNvPicPr>
                      <a:picLocks noChangeAspect="1"/>
                    </pic:cNvPicPr>
                  </pic:nvPicPr>
                  <pic:blipFill>
                    <a:blip r:embed="rId86"/>
                    <a:stretch>
                      <a:fillRect/>
                    </a:stretch>
                  </pic:blipFill>
                  <pic:spPr>
                    <a:xfrm>
                      <a:off x="0" y="0"/>
                      <a:ext cx="2573655" cy="1762125"/>
                    </a:xfrm>
                    <a:prstGeom prst="rect">
                      <a:avLst/>
                    </a:prstGeom>
                  </pic:spPr>
                </pic:pic>
              </a:graphicData>
            </a:graphic>
          </wp:inline>
        </w:drawing>
      </w:r>
    </w:p>
    <w:p>
      <w:pPr>
        <w:ind w:firstLine="3360" w:firstLineChars="1200"/>
        <w:jc w:val="both"/>
        <w:rPr>
          <w:rFonts w:hint="default"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消防通道</w:t>
      </w:r>
    </w:p>
    <w:p>
      <w:pPr>
        <w:pStyle w:val="5"/>
        <w:keepNext/>
        <w:keepLines/>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uk-UA" w:bidi="ar-SA"/>
        </w:rPr>
      </w:pPr>
      <w:bookmarkStart w:id="115" w:name="_Toc27497"/>
      <w:bookmarkStart w:id="116" w:name="_Toc1514"/>
      <w:r>
        <w:rPr>
          <w:rFonts w:hint="eastAsia" w:ascii="仿宋_GB2312" w:hAnsi="Times New Roman" w:eastAsia="仿宋_GB2312" w:cs="Times New Roman"/>
          <w:b/>
          <w:bCs/>
          <w:kern w:val="2"/>
          <w:sz w:val="28"/>
          <w:szCs w:val="28"/>
          <w:lang w:val="en-US" w:eastAsia="uk-UA" w:bidi="ar-SA"/>
        </w:rPr>
        <w:t>4.</w:t>
      </w:r>
      <w:r>
        <w:rPr>
          <w:rFonts w:hint="eastAsia" w:ascii="仿宋_GB2312" w:hAnsi="Times New Roman" w:eastAsia="仿宋_GB2312" w:cs="Times New Roman"/>
          <w:b/>
          <w:bCs/>
          <w:kern w:val="2"/>
          <w:sz w:val="28"/>
          <w:szCs w:val="28"/>
          <w:lang w:val="en-US" w:eastAsia="zh-CN" w:bidi="ar-SA"/>
        </w:rPr>
        <w:t>3</w:t>
      </w:r>
      <w:r>
        <w:rPr>
          <w:rFonts w:hint="eastAsia" w:ascii="仿宋_GB2312" w:hAnsi="Times New Roman" w:eastAsia="仿宋_GB2312" w:cs="Times New Roman"/>
          <w:b/>
          <w:bCs/>
          <w:kern w:val="2"/>
          <w:sz w:val="28"/>
          <w:szCs w:val="28"/>
          <w:lang w:val="en-US" w:eastAsia="uk-UA" w:bidi="ar-SA"/>
        </w:rPr>
        <w:t>.5科研管理保障体系</w:t>
      </w:r>
      <w:bookmarkEnd w:id="115"/>
      <w:bookmarkEnd w:id="116"/>
    </w:p>
    <w:p>
      <w:pPr>
        <w:ind w:firstLine="560" w:firstLineChars="200"/>
        <w:jc w:val="left"/>
        <w:outlineLvl w:val="9"/>
        <w:rPr>
          <w:rFonts w:hint="eastAsia" w:ascii="仿宋_GB2312" w:hAnsi="Times New Roman" w:eastAsia="仿宋_GB2312" w:cs="Times New Roman"/>
          <w:b w:val="0"/>
          <w:bCs w:val="0"/>
          <w:kern w:val="2"/>
          <w:sz w:val="28"/>
          <w:szCs w:val="28"/>
          <w:lang w:val="en-US" w:eastAsia="uk-UA" w:bidi="ar-SA"/>
        </w:rPr>
      </w:pPr>
      <w:bookmarkStart w:id="117" w:name="_Toc_1_3_0000000025"/>
      <w:bookmarkStart w:id="118" w:name="_Toc3889"/>
      <w:r>
        <w:rPr>
          <w:rFonts w:hint="eastAsia" w:ascii="仿宋_GB2312" w:hAnsi="Times New Roman" w:eastAsia="仿宋_GB2312" w:cs="Times New Roman"/>
          <w:b w:val="0"/>
          <w:bCs w:val="0"/>
          <w:kern w:val="2"/>
          <w:sz w:val="28"/>
          <w:szCs w:val="28"/>
          <w:lang w:val="en-US" w:eastAsia="uk-UA" w:bidi="ar-SA"/>
        </w:rPr>
        <w:t>1、学校科研科根据不同项目的专项特点</w:t>
      </w:r>
      <w:r>
        <w:rPr>
          <w:rFonts w:hint="eastAsia" w:ascii="仿宋_GB2312" w:hAnsi="Times New Roman" w:eastAsia="仿宋_GB2312" w:cs="Times New Roman"/>
          <w:b w:val="0"/>
          <w:bCs w:val="0"/>
          <w:kern w:val="2"/>
          <w:sz w:val="28"/>
          <w:szCs w:val="28"/>
          <w:lang w:val="en-US" w:eastAsia="zh-CN" w:bidi="ar-SA"/>
        </w:rPr>
        <w:t>,帮助各运动队进行科学选材，并根据</w:t>
      </w:r>
      <w:r>
        <w:rPr>
          <w:rFonts w:hint="eastAsia" w:ascii="仿宋_GB2312" w:hAnsi="Times New Roman" w:eastAsia="仿宋_GB2312" w:cs="Times New Roman"/>
          <w:b w:val="0"/>
          <w:bCs w:val="0"/>
          <w:kern w:val="2"/>
          <w:sz w:val="28"/>
          <w:szCs w:val="28"/>
          <w:lang w:val="en-US" w:eastAsia="uk-UA" w:bidi="ar-SA"/>
        </w:rPr>
        <w:t>不同队员的自身特点、以及训练和比赛的需要，为运动员提供身体机能测试、生理生化监测、心理疏导，伤病防治，康复理疗，营养监控等一系列行之有效的科研保障。</w:t>
      </w:r>
    </w:p>
    <w:p>
      <w:pPr>
        <w:ind w:firstLine="560" w:firstLineChars="200"/>
        <w:jc w:val="left"/>
        <w:outlineLvl w:val="9"/>
        <w:rPr>
          <w:rFonts w:hint="eastAsia" w:ascii="仿宋_GB2312" w:hAnsi="Times New Roman" w:eastAsia="仿宋_GB2312" w:cs="Times New Roman"/>
          <w:b w:val="0"/>
          <w:bCs w:val="0"/>
          <w:kern w:val="2"/>
          <w:sz w:val="28"/>
          <w:szCs w:val="28"/>
          <w:lang w:val="en-US" w:eastAsia="uk-UA" w:bidi="ar-SA"/>
        </w:rPr>
      </w:pPr>
      <w:r>
        <w:rPr>
          <w:rFonts w:hint="eastAsia" w:ascii="仿宋_GB2312" w:hAnsi="Times New Roman" w:eastAsia="仿宋_GB2312" w:cs="Times New Roman"/>
          <w:b w:val="0"/>
          <w:bCs w:val="0"/>
          <w:kern w:val="2"/>
          <w:sz w:val="28"/>
          <w:szCs w:val="28"/>
          <w:lang w:val="en-US" w:eastAsia="uk-UA" w:bidi="ar-SA"/>
        </w:rPr>
        <w:t>2、在科研保障体系中，充分重视对运动员膳食营养知识的普及和教育，并定期对重点队员和优秀后备人才的训练水平进行分析和研判，从而提出科学合理的训练方案。</w:t>
      </w:r>
    </w:p>
    <w:p>
      <w:pPr>
        <w:ind w:firstLine="560" w:firstLineChars="200"/>
        <w:jc w:val="left"/>
        <w:outlineLvl w:val="9"/>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uk-UA" w:bidi="ar-SA"/>
        </w:rPr>
        <w:t>3、为丰富科研指导水平，强化科研实操能力， 2021年，学校成立了青少年运动训练复合型保障团队，在科研和服务保障中注重运动员的个体差异，重点发展我校运动员的身体训练，以提高神经肌肉适应和工作能力作为核心理念，并将这一理念渗透到身体训练的各个方面，从而有效预防运动损伤、强化心理品质。通过对运动员进行功能动作筛查，关注运动员身体的不对称问题、灵活性问题、稳定性问题、动作模式受限问题，根据筛查结果，进一步进行身体功能强化练习，通过练习增强关节的灵活性、稳定性，从而达到预防损伤的目的，在良好的身体功能基础上，再进行基础体能训练和专项体能训练，使运动成绩大大提高，提升了训练的科学化水平。</w:t>
      </w:r>
    </w:p>
    <w:p>
      <w:pPr>
        <w:outlineLvl w:val="9"/>
        <w:rPr>
          <w:rFonts w:hint="eastAsia" w:eastAsia="仿宋_GB2312"/>
          <w:lang w:eastAsia="zh-CN"/>
        </w:rPr>
      </w:pPr>
    </w:p>
    <w:p>
      <w:pPr>
        <w:pStyle w:val="2"/>
        <w:outlineLvl w:val="9"/>
        <w:rPr>
          <w:rFonts w:hint="eastAsia"/>
          <w:lang w:val="en-US" w:eastAsia="zh-CN"/>
        </w:rPr>
      </w:pPr>
      <w:r>
        <w:rPr>
          <w:rFonts w:hint="eastAsia"/>
          <w:lang w:val="en-US" w:eastAsia="zh-CN"/>
        </w:rPr>
        <w:drawing>
          <wp:inline distT="0" distB="0" distL="114300" distR="114300">
            <wp:extent cx="2360930" cy="1776095"/>
            <wp:effectExtent l="0" t="0" r="1270" b="14605"/>
            <wp:docPr id="3" name="图片 3" descr="b4cf25b4c77f5fa51f9ec9e1b4487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4cf25b4c77f5fa51f9ec9e1b44873e"/>
                    <pic:cNvPicPr>
                      <a:picLocks noChangeAspect="1"/>
                    </pic:cNvPicPr>
                  </pic:nvPicPr>
                  <pic:blipFill>
                    <a:blip r:embed="rId87"/>
                    <a:stretch>
                      <a:fillRect/>
                    </a:stretch>
                  </pic:blipFill>
                  <pic:spPr>
                    <a:xfrm>
                      <a:off x="0" y="0"/>
                      <a:ext cx="2360930" cy="177609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467610" cy="1769110"/>
            <wp:effectExtent l="0" t="0" r="8890" b="2540"/>
            <wp:docPr id="8" name="图片 8" descr="fb04eb7c7102a068ee438269cde4f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b04eb7c7102a068ee438269cde4fc1"/>
                    <pic:cNvPicPr>
                      <a:picLocks noChangeAspect="1"/>
                    </pic:cNvPicPr>
                  </pic:nvPicPr>
                  <pic:blipFill>
                    <a:blip r:embed="rId88"/>
                    <a:stretch>
                      <a:fillRect/>
                    </a:stretch>
                  </pic:blipFill>
                  <pic:spPr>
                    <a:xfrm>
                      <a:off x="0" y="0"/>
                      <a:ext cx="2467610" cy="1769110"/>
                    </a:xfrm>
                    <a:prstGeom prst="rect">
                      <a:avLst/>
                    </a:prstGeom>
                  </pic:spPr>
                </pic:pic>
              </a:graphicData>
            </a:graphic>
          </wp:inline>
        </w:drawing>
      </w:r>
    </w:p>
    <w:p>
      <w:pPr>
        <w:outlineLvl w:val="9"/>
        <w:rPr>
          <w:rFonts w:hint="eastAsia"/>
          <w:lang w:val="en-US" w:eastAsia="zh-CN"/>
        </w:rPr>
      </w:pPr>
      <w:r>
        <w:rPr>
          <w:rFonts w:hint="eastAsia"/>
          <w:lang w:val="en-US" w:eastAsia="zh-CN"/>
        </w:rPr>
        <w:t xml:space="preserve">                                </w:t>
      </w:r>
      <w:r>
        <w:rPr>
          <w:rFonts w:hint="eastAsia" w:ascii="仿宋_GB2312" w:hAnsi="Times New Roman" w:eastAsia="仿宋_GB2312" w:cs="Times New Roman"/>
          <w:b w:val="0"/>
          <w:bCs w:val="0"/>
          <w:kern w:val="2"/>
          <w:sz w:val="28"/>
          <w:szCs w:val="28"/>
          <w:lang w:val="en-US" w:eastAsia="zh-CN" w:bidi="ar-SA"/>
        </w:rPr>
        <w:t xml:space="preserve"> 运动科学选材</w:t>
      </w:r>
    </w:p>
    <w:p>
      <w:pPr>
        <w:pStyle w:val="2"/>
        <w:outlineLvl w:val="9"/>
        <w:rPr>
          <w:rFonts w:hint="eastAsia"/>
          <w:lang w:val="en-US" w:eastAsia="zh-CN"/>
        </w:rPr>
      </w:pPr>
      <w:r>
        <w:rPr>
          <w:rFonts w:hint="eastAsia"/>
          <w:lang w:val="en-US" w:eastAsia="zh-CN"/>
        </w:rPr>
        <w:drawing>
          <wp:inline distT="0" distB="0" distL="114300" distR="114300">
            <wp:extent cx="2408555" cy="1807210"/>
            <wp:effectExtent l="0" t="0" r="10795" b="2540"/>
            <wp:docPr id="9" name="图片 9" descr="6c5cfb0c06a7accaacf9f3889a171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c5cfb0c06a7accaacf9f3889a171bd"/>
                    <pic:cNvPicPr>
                      <a:picLocks noChangeAspect="1"/>
                    </pic:cNvPicPr>
                  </pic:nvPicPr>
                  <pic:blipFill>
                    <a:blip r:embed="rId89"/>
                    <a:stretch>
                      <a:fillRect/>
                    </a:stretch>
                  </pic:blipFill>
                  <pic:spPr>
                    <a:xfrm>
                      <a:off x="0" y="0"/>
                      <a:ext cx="2408555" cy="180721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405380" cy="1814195"/>
            <wp:effectExtent l="0" t="0" r="13970" b="14605"/>
            <wp:docPr id="10" name="图片 10" descr="2071a7125aeec687de03b7a502af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71a7125aeec687de03b7a502afa4a"/>
                    <pic:cNvPicPr>
                      <a:picLocks noChangeAspect="1"/>
                    </pic:cNvPicPr>
                  </pic:nvPicPr>
                  <pic:blipFill>
                    <a:blip r:embed="rId90"/>
                    <a:stretch>
                      <a:fillRect/>
                    </a:stretch>
                  </pic:blipFill>
                  <pic:spPr>
                    <a:xfrm>
                      <a:off x="0" y="0"/>
                      <a:ext cx="2405380" cy="1814195"/>
                    </a:xfrm>
                    <a:prstGeom prst="rect">
                      <a:avLst/>
                    </a:prstGeom>
                  </pic:spPr>
                </pic:pic>
              </a:graphicData>
            </a:graphic>
          </wp:inline>
        </w:drawing>
      </w:r>
    </w:p>
    <w:p>
      <w:pPr>
        <w:outlineLvl w:val="9"/>
        <w:rPr>
          <w:rFonts w:hint="eastAsia"/>
          <w:lang w:eastAsia="zh-CN"/>
        </w:rPr>
      </w:pPr>
      <w:r>
        <w:rPr>
          <w:rFonts w:hint="eastAsia"/>
          <w:lang w:val="en-US" w:eastAsia="zh-CN"/>
        </w:rPr>
        <w:t xml:space="preserve">                           </w:t>
      </w:r>
      <w:r>
        <w:rPr>
          <w:rFonts w:hint="eastAsia" w:ascii="仿宋_GB2312" w:hAnsi="Times New Roman" w:eastAsia="仿宋_GB2312" w:cs="Times New Roman"/>
          <w:b w:val="0"/>
          <w:bCs w:val="0"/>
          <w:kern w:val="2"/>
          <w:sz w:val="28"/>
          <w:szCs w:val="28"/>
          <w:lang w:val="en-US" w:eastAsia="zh-CN" w:bidi="ar-SA"/>
        </w:rPr>
        <w:t xml:space="preserve">   重点队员监控</w:t>
      </w:r>
    </w:p>
    <w:p>
      <w:pPr>
        <w:pStyle w:val="2"/>
        <w:outlineLvl w:val="9"/>
        <w:rPr>
          <w:rFonts w:hint="eastAsia" w:eastAsia="仿宋_GB2312"/>
          <w:lang w:eastAsia="zh-CN"/>
        </w:rPr>
      </w:pPr>
      <w:r>
        <w:rPr>
          <w:rFonts w:hint="eastAsia" w:eastAsia="仿宋_GB2312"/>
          <w:lang w:eastAsia="zh-CN"/>
        </w:rPr>
        <w:drawing>
          <wp:inline distT="0" distB="0" distL="114300" distR="114300">
            <wp:extent cx="4898390" cy="1979930"/>
            <wp:effectExtent l="0" t="0" r="16510" b="1270"/>
            <wp:docPr id="11" name="图片 11" descr="7fe60b3d59ef7e3c78993f661c308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fe60b3d59ef7e3c78993f661c308c2"/>
                    <pic:cNvPicPr>
                      <a:picLocks noChangeAspect="1"/>
                    </pic:cNvPicPr>
                  </pic:nvPicPr>
                  <pic:blipFill>
                    <a:blip r:embed="rId91"/>
                    <a:stretch>
                      <a:fillRect/>
                    </a:stretch>
                  </pic:blipFill>
                  <pic:spPr>
                    <a:xfrm>
                      <a:off x="0" y="0"/>
                      <a:ext cx="4898390" cy="1979930"/>
                    </a:xfrm>
                    <a:prstGeom prst="rect">
                      <a:avLst/>
                    </a:prstGeom>
                  </pic:spPr>
                </pic:pic>
              </a:graphicData>
            </a:graphic>
          </wp:inline>
        </w:drawing>
      </w:r>
    </w:p>
    <w:p>
      <w:pPr>
        <w:keepNext/>
        <w:keepLines/>
        <w:pageBreakBefore w:val="0"/>
        <w:widowControl w:val="0"/>
        <w:kinsoku/>
        <w:wordWrap/>
        <w:overflowPunct/>
        <w:topLinePunct w:val="0"/>
        <w:autoSpaceDE/>
        <w:autoSpaceDN/>
        <w:bidi w:val="0"/>
        <w:adjustRightInd/>
        <w:snapToGrid/>
        <w:spacing w:line="240" w:lineRule="auto"/>
        <w:ind w:left="638" w:leftChars="304" w:firstLine="0" w:firstLineChars="0"/>
        <w:jc w:val="left"/>
        <w:textAlignment w:val="auto"/>
        <w:outlineLvl w:val="9"/>
        <w:rPr>
          <w:rFonts w:hint="eastAsia"/>
          <w:lang w:val="en-US" w:eastAsia="zh-CN"/>
        </w:rPr>
      </w:pPr>
      <w:r>
        <w:rPr>
          <w:rFonts w:hint="eastAsia" w:eastAsia="仿宋_GB2312"/>
          <w:lang w:val="en-US" w:eastAsia="zh-CN"/>
        </w:rPr>
        <w:t xml:space="preserve">                          </w:t>
      </w:r>
      <w:r>
        <w:rPr>
          <w:rFonts w:hint="eastAsia" w:ascii="仿宋_GB2312" w:hAnsi="Times New Roman" w:eastAsia="仿宋_GB2312" w:cs="Times New Roman"/>
          <w:b w:val="0"/>
          <w:bCs w:val="0"/>
          <w:kern w:val="2"/>
          <w:sz w:val="28"/>
          <w:szCs w:val="28"/>
          <w:lang w:val="en-US" w:eastAsia="zh-CN" w:bidi="ar-SA"/>
        </w:rPr>
        <w:t xml:space="preserve">理疗实操指导 </w:t>
      </w:r>
      <w:r>
        <w:rPr>
          <w:rFonts w:hint="eastAsia"/>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line="240" w:lineRule="auto"/>
        <w:ind w:left="638" w:leftChars="304" w:firstLine="0" w:firstLineChars="0"/>
        <w:jc w:val="left"/>
        <w:textAlignment w:val="auto"/>
        <w:rPr>
          <w:rFonts w:hint="eastAsia" w:ascii="仿宋_GB2312" w:hAnsi="Times New Roman" w:eastAsia="仿宋_GB2312" w:cs="Times New Roman"/>
          <w:b/>
          <w:bCs/>
          <w:kern w:val="2"/>
          <w:sz w:val="28"/>
          <w:szCs w:val="28"/>
          <w:lang w:val="en-US" w:eastAsia="zh-CN" w:bidi="ar-SA"/>
        </w:rPr>
      </w:pPr>
      <w:r>
        <w:rPr>
          <w:rFonts w:hint="eastAsia"/>
          <w:lang w:val="en-US" w:eastAsia="zh-CN"/>
        </w:rPr>
        <w:t xml:space="preserve"> </w:t>
      </w:r>
      <w:bookmarkStart w:id="119" w:name="_Toc14472"/>
      <w:r>
        <w:rPr>
          <w:rFonts w:hint="eastAsia" w:ascii="仿宋_GB2312" w:hAnsi="Times New Roman" w:eastAsia="仿宋_GB2312" w:cs="Times New Roman"/>
          <w:b/>
          <w:bCs/>
          <w:kern w:val="2"/>
          <w:sz w:val="28"/>
          <w:szCs w:val="28"/>
          <w:lang w:val="en-US" w:eastAsia="zh-CN" w:bidi="ar-SA"/>
        </w:rPr>
        <w:t>4.3.6党建</w:t>
      </w:r>
      <w:bookmarkEnd w:id="117"/>
      <w:r>
        <w:rPr>
          <w:rFonts w:hint="eastAsia" w:ascii="仿宋_GB2312" w:hAnsi="Times New Roman" w:eastAsia="仿宋_GB2312" w:cs="Times New Roman"/>
          <w:b/>
          <w:bCs/>
          <w:kern w:val="2"/>
          <w:sz w:val="28"/>
          <w:szCs w:val="28"/>
          <w:lang w:val="en-US" w:eastAsia="zh-CN" w:bidi="ar-SA"/>
        </w:rPr>
        <w:t>工作保障体系</w:t>
      </w:r>
      <w:bookmarkEnd w:id="118"/>
      <w:bookmarkEnd w:id="119"/>
    </w:p>
    <w:p>
      <w:pPr>
        <w:spacing w:line="360" w:lineRule="auto"/>
        <w:ind w:firstLine="560"/>
        <w:rPr>
          <w:rFonts w:ascii="楷体_GB2312" w:eastAsia="楷体_GB2312" w:cs="黑体"/>
          <w:w w:val="98"/>
          <w:sz w:val="30"/>
          <w:szCs w:val="30"/>
        </w:rPr>
      </w:pPr>
      <w:r>
        <w:rPr>
          <w:rFonts w:hint="eastAsia" w:ascii="仿宋_GB2312" w:hAnsi="Times New Roman" w:eastAsia="仿宋_GB2312" w:cs="Times New Roman"/>
          <w:b w:val="0"/>
          <w:bCs w:val="0"/>
          <w:kern w:val="2"/>
          <w:sz w:val="28"/>
          <w:szCs w:val="28"/>
          <w:lang w:val="en-US" w:eastAsia="zh-CN" w:bidi="ar-SA"/>
        </w:rPr>
        <w:t>目前我校党总支共下设有党支部4个，党员73人包括（离退休党员22人），2021年发展党员4人，预备党员3人，团支部7个，团员85名。2021年我校召开党支部党员大会共20次，党支部委员会共7次，党小组会40次，开设党课16次，开展主题党日活动12次，组织生活会1次，民主评议党员1次。</w:t>
      </w:r>
    </w:p>
    <w:p>
      <w:pPr>
        <w:spacing w:line="360" w:lineRule="auto"/>
        <w:ind w:firstLine="56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一、</w:t>
      </w:r>
      <w:r>
        <w:rPr>
          <w:rFonts w:hint="eastAsia" w:ascii="仿宋_GB2312" w:hAnsi="Times New Roman" w:eastAsia="仿宋_GB2312" w:cs="Times New Roman"/>
          <w:b w:val="0"/>
          <w:bCs w:val="0"/>
          <w:kern w:val="2"/>
          <w:sz w:val="28"/>
          <w:szCs w:val="28"/>
          <w:lang w:val="uk-UA" w:eastAsia="zh-CN" w:bidi="ar-SA"/>
        </w:rPr>
        <w:t>学习贯彻情况</w:t>
      </w:r>
    </w:p>
    <w:p>
      <w:pPr>
        <w:spacing w:line="360" w:lineRule="auto"/>
        <w:ind w:firstLine="56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2021以来，我校党总支坚持以习近平新时代中国特色社会主义思想为指导，在市委、市政府和市体育局的坚强领导和市党史学习教育领导小组及督查组的指导帮助下，领导班子同心同德，带领全校教职工，以十九届五中全会精神为指引，按照党要管党、从严治党的总体要求，以严实作风扎实推进基层党建，始终坚持党建工作和业务工作同谋划、同部署、同推进，实现了党建工作、党史学习教育与业务工作相互促进和共同发展，为保障我校健康有序运行作出应有贡献。</w:t>
      </w:r>
    </w:p>
    <w:p>
      <w:pPr>
        <w:spacing w:line="360" w:lineRule="auto"/>
        <w:ind w:firstLine="56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（一）基层党建工作开展情况</w:t>
      </w:r>
    </w:p>
    <w:p>
      <w:pPr>
        <w:spacing w:line="360" w:lineRule="auto"/>
        <w:ind w:firstLine="56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1、大同市体育运动学校高标准高质量开展党史学习教育，扎实起步、中心组及各党支部党史学习教育有序推进,从学校党总支到群团组织，从教职工党支部到学生团体，通过宣讲会、思政课、“三会一课”、自学联学、主题活动、参观学习、社会服务等不同形式，引导广大党员特别是青年师生知史爱党知史爱国，提升教师思想政治工作水平，把学习成效转化为工作动力，推动党史学习教育深入群众、深入基层、深入人心。党总支把学习宣传贯彻党的十九大、十九届二中、三中、四中、五中全会精神和习总书记视察山西重要讲话精神及习近平新时代中国特色社会主义思想作为重要的政治任务，深入开展创建“三零单位”和“省级文明校园”建设活动，以党章党规党纪为标尺，对照廉洁从政各项规定，发挥思想引领、舆论推动、精神激励的重要作用，不断夯实基层党组织建设基础，强化意识形态工作。</w:t>
      </w:r>
    </w:p>
    <w:p>
      <w:pPr>
        <w:spacing w:line="360" w:lineRule="auto"/>
        <w:ind w:firstLine="56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2、深化落实全面从严治党工作责任。制定深化落实全面从严治党工作方案，层层签订责任状，将党务工作和业务工作同研究、同计划、同部署、同检查、同考核，层层压实全面从严治党领导班子的集体责任、党政主要领导的第一责任和领导班子其他成员“一岗双责”。党总支书记作为党建工作第一责任人，认真履行落实全面从严治党主体责任，做到逢会必讲廉政、作风问题。</w:t>
      </w:r>
    </w:p>
    <w:p>
      <w:pPr>
        <w:spacing w:line="360" w:lineRule="auto"/>
        <w:ind w:firstLine="56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3、进一步规范党内生活制度，夯实基层党组织队伍。开展党课、十九届五中全会精神、习总书记“七一讲话精神” 宣讲，落实“三会一课”规范化专题培训，进一步提高了党员的党性觉悟，明确了各项组织生活记录的规范要求，严格党内各项政治制度。</w:t>
      </w:r>
    </w:p>
    <w:p>
      <w:pPr>
        <w:spacing w:line="360" w:lineRule="auto"/>
        <w:ind w:firstLine="560"/>
        <w:rPr>
          <w:rFonts w:ascii="楷体_GB2312" w:eastAsia="楷体_GB2312" w:cs="黑体"/>
          <w:w w:val="98"/>
          <w:sz w:val="30"/>
          <w:szCs w:val="30"/>
        </w:rPr>
      </w:pPr>
      <w:r>
        <w:rPr>
          <w:rFonts w:hint="eastAsia" w:ascii="仿宋_GB2312" w:hAnsi="Times New Roman" w:eastAsia="仿宋_GB2312" w:cs="Times New Roman"/>
          <w:b w:val="0"/>
          <w:bCs w:val="0"/>
          <w:kern w:val="2"/>
          <w:sz w:val="28"/>
          <w:szCs w:val="28"/>
          <w:lang w:val="en-US" w:eastAsia="zh-CN" w:bidi="ar-SA"/>
        </w:rPr>
        <w:t>4、积极开展“我为群众办实事”。 为认真贯彻中央和省、市委关于党史学习教育的安排部署,切实抓好“我为群众办实事”实践活动落到实处,根据市委党史学习教育领导小组《关于印发“我为群众办实事”实践活动的行动方案的通知》(同学组发〔2021〕10号)和《中共大同市委印发〈关于开展党史学习教育的实施方案〉的通知》(同发〔2021〕4号)精神,结合我市实际,就我校党员干部中扎实开展“我为群众办实事”实践活动, 聚焦群众反映集中的共性需求和存在的普遍性问题,聚焦发展亟待解决的痛点难点问题,聚焦长期未能解决的民生历史遗留问题,将巩固脱贫攻坚成果、全面推进乡村振兴、协助市体育局与平城区拆迁办办理家属楼的安置事项等群众急难等盼的事情，作为为人民服务的起点和落脚点</w:t>
      </w:r>
      <w:r>
        <w:rPr>
          <w:rFonts w:hint="eastAsia" w:ascii="楷体_GB2312" w:eastAsia="楷体_GB2312" w:cs="黑体"/>
          <w:w w:val="98"/>
          <w:sz w:val="30"/>
          <w:szCs w:val="30"/>
        </w:rPr>
        <w:t>。</w:t>
      </w:r>
    </w:p>
    <w:p>
      <w:pPr>
        <w:rPr>
          <w:rFonts w:ascii="楷体_GB2312" w:eastAsia="楷体_GB2312" w:cs="黑体"/>
          <w:w w:val="98"/>
          <w:sz w:val="30"/>
          <w:szCs w:val="30"/>
        </w:rPr>
      </w:pPr>
      <w:r>
        <w:rPr>
          <w:rFonts w:ascii="楷体_GB2312" w:eastAsia="楷体_GB2312" w:cs="黑体"/>
          <w:w w:val="98"/>
          <w:sz w:val="30"/>
          <w:szCs w:val="30"/>
        </w:rPr>
        <w:drawing>
          <wp:inline distT="0" distB="0" distL="0" distR="0">
            <wp:extent cx="2576830" cy="1588770"/>
            <wp:effectExtent l="0" t="0" r="13970" b="11430"/>
            <wp:docPr id="71" name="图片 29" descr="C:\Users\Administrator\Desktop\微信图片_20211115114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9" descr="C:\Users\Administrator\Desktop\微信图片_202111151140111.jpg"/>
                    <pic:cNvPicPr>
                      <a:picLocks noChangeAspect="1" noChangeArrowheads="1"/>
                    </pic:cNvPicPr>
                  </pic:nvPicPr>
                  <pic:blipFill>
                    <a:blip r:embed="rId92" cstate="print"/>
                    <a:srcRect/>
                    <a:stretch>
                      <a:fillRect/>
                    </a:stretch>
                  </pic:blipFill>
                  <pic:spPr>
                    <a:xfrm>
                      <a:off x="0" y="0"/>
                      <a:ext cx="2576830" cy="1588770"/>
                    </a:xfrm>
                    <a:prstGeom prst="rect">
                      <a:avLst/>
                    </a:prstGeom>
                    <a:noFill/>
                    <a:ln w="9525">
                      <a:noFill/>
                      <a:miter lim="800000"/>
                      <a:headEnd/>
                      <a:tailEnd/>
                    </a:ln>
                  </pic:spPr>
                </pic:pic>
              </a:graphicData>
            </a:graphic>
          </wp:inline>
        </w:drawing>
      </w:r>
      <w:r>
        <w:rPr>
          <w:rFonts w:hint="eastAsia" w:ascii="楷体_GB2312" w:eastAsia="楷体_GB2312" w:cs="黑体"/>
          <w:w w:val="98"/>
          <w:sz w:val="30"/>
          <w:szCs w:val="30"/>
        </w:rPr>
        <w:t xml:space="preserve"> </w:t>
      </w:r>
      <w:r>
        <w:rPr>
          <w:rFonts w:ascii="楷体_GB2312" w:eastAsia="楷体_GB2312" w:cs="黑体"/>
          <w:w w:val="98"/>
          <w:sz w:val="30"/>
          <w:szCs w:val="30"/>
        </w:rPr>
        <w:drawing>
          <wp:inline distT="0" distB="0" distL="0" distR="0">
            <wp:extent cx="2466975" cy="1604645"/>
            <wp:effectExtent l="0" t="0" r="9525" b="14605"/>
            <wp:docPr id="76" name="图片 30" descr="C:\Users\Administrator\Desktop\微信图片_2021111511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0" descr="C:\Users\Administrator\Desktop\微信图片_20211115114011.jpg"/>
                    <pic:cNvPicPr>
                      <a:picLocks noChangeAspect="1" noChangeArrowheads="1"/>
                    </pic:cNvPicPr>
                  </pic:nvPicPr>
                  <pic:blipFill>
                    <a:blip r:embed="rId93" cstate="print"/>
                    <a:srcRect/>
                    <a:stretch>
                      <a:fillRect/>
                    </a:stretch>
                  </pic:blipFill>
                  <pic:spPr>
                    <a:xfrm>
                      <a:off x="0" y="0"/>
                      <a:ext cx="2466975" cy="1604645"/>
                    </a:xfrm>
                    <a:prstGeom prst="rect">
                      <a:avLst/>
                    </a:prstGeom>
                    <a:noFill/>
                    <a:ln w="9525">
                      <a:noFill/>
                      <a:miter lim="800000"/>
                      <a:headEnd/>
                      <a:tailEnd/>
                    </a:ln>
                  </pic:spPr>
                </pic:pic>
              </a:graphicData>
            </a:graphic>
          </wp:inline>
        </w:drawing>
      </w:r>
    </w:p>
    <w:p>
      <w:pPr>
        <w:spacing w:line="360" w:lineRule="auto"/>
        <w:ind w:firstLine="56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5、广泛开展党员志愿服务深入社区，为社区居民提供志愿者服务。</w:t>
      </w:r>
    </w:p>
    <w:p>
      <w:pPr>
        <w:pStyle w:val="2"/>
        <w:ind w:left="0" w:leftChars="0" w:firstLine="0" w:firstLineChars="0"/>
        <w:rPr>
          <w:rFonts w:ascii="楷体_GB2312" w:eastAsia="楷体_GB2312" w:cs="黑体"/>
          <w:w w:val="98"/>
          <w:sz w:val="30"/>
          <w:szCs w:val="30"/>
        </w:rPr>
      </w:pPr>
      <w:r>
        <w:rPr>
          <w:rFonts w:ascii="楷体_GB2312" w:eastAsia="楷体_GB2312" w:cs="黑体"/>
          <w:w w:val="98"/>
          <w:sz w:val="30"/>
          <w:szCs w:val="30"/>
        </w:rPr>
        <w:drawing>
          <wp:inline distT="0" distB="0" distL="0" distR="0">
            <wp:extent cx="2553335" cy="1754505"/>
            <wp:effectExtent l="0" t="0" r="18415" b="17145"/>
            <wp:docPr id="78" name="图片 14" descr="C:\Users\ADMINI~1\AppData\Local\Temp\WeChat Files\7484f7091f096f9cb8d83ed89ef9d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4" descr="C:\Users\ADMINI~1\AppData\Local\Temp\WeChat Files\7484f7091f096f9cb8d83ed89ef9d53.jpg"/>
                    <pic:cNvPicPr>
                      <a:picLocks noChangeAspect="1" noChangeArrowheads="1"/>
                    </pic:cNvPicPr>
                  </pic:nvPicPr>
                  <pic:blipFill>
                    <a:blip r:embed="rId94" cstate="print"/>
                    <a:srcRect/>
                    <a:stretch>
                      <a:fillRect/>
                    </a:stretch>
                  </pic:blipFill>
                  <pic:spPr>
                    <a:xfrm>
                      <a:off x="0" y="0"/>
                      <a:ext cx="2553335" cy="1756250"/>
                    </a:xfrm>
                    <a:prstGeom prst="rect">
                      <a:avLst/>
                    </a:prstGeom>
                    <a:noFill/>
                    <a:ln w="9525">
                      <a:noFill/>
                      <a:miter lim="800000"/>
                      <a:headEnd/>
                      <a:tailEnd/>
                    </a:ln>
                  </pic:spPr>
                </pic:pic>
              </a:graphicData>
            </a:graphic>
          </wp:inline>
        </w:drawing>
      </w:r>
      <w:r>
        <w:rPr>
          <w:rFonts w:hint="eastAsia" w:ascii="楷体_GB2312" w:eastAsia="楷体_GB2312" w:cs="黑体"/>
          <w:w w:val="98"/>
          <w:sz w:val="30"/>
          <w:szCs w:val="30"/>
        </w:rPr>
        <w:t xml:space="preserve"> </w:t>
      </w:r>
      <w:r>
        <w:rPr>
          <w:rFonts w:ascii="楷体_GB2312" w:eastAsia="楷体_GB2312" w:cs="黑体"/>
          <w:w w:val="98"/>
          <w:sz w:val="30"/>
          <w:szCs w:val="30"/>
        </w:rPr>
        <w:drawing>
          <wp:inline distT="0" distB="0" distL="0" distR="0">
            <wp:extent cx="2495550" cy="1789430"/>
            <wp:effectExtent l="0" t="0" r="0" b="1270"/>
            <wp:docPr id="79" name="图片 38" descr="C:\Users\Administrator\Desktop\微信图片_2021111511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8" descr="C:\Users\Administrator\Desktop\微信图片_20211115114219.jpg"/>
                    <pic:cNvPicPr>
                      <a:picLocks noChangeAspect="1" noChangeArrowheads="1"/>
                    </pic:cNvPicPr>
                  </pic:nvPicPr>
                  <pic:blipFill>
                    <a:blip r:embed="rId95" cstate="print"/>
                    <a:srcRect/>
                    <a:stretch>
                      <a:fillRect/>
                    </a:stretch>
                  </pic:blipFill>
                  <pic:spPr>
                    <a:xfrm>
                      <a:off x="0" y="0"/>
                      <a:ext cx="2495550" cy="1789430"/>
                    </a:xfrm>
                    <a:prstGeom prst="rect">
                      <a:avLst/>
                    </a:prstGeom>
                    <a:noFill/>
                    <a:ln w="9525">
                      <a:noFill/>
                      <a:miter lim="800000"/>
                      <a:headEnd/>
                      <a:tailEnd/>
                    </a:ln>
                  </pic:spPr>
                </pic:pic>
              </a:graphicData>
            </a:graphic>
          </wp:inline>
        </w:drawing>
      </w:r>
    </w:p>
    <w:p>
      <w:pPr>
        <w:spacing w:line="360" w:lineRule="auto"/>
        <w:ind w:firstLine="56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（二）工作成绩</w:t>
      </w:r>
    </w:p>
    <w:p>
      <w:pPr>
        <w:spacing w:line="360" w:lineRule="auto"/>
        <w:ind w:firstLine="56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2021年我校的思想政治工作、训练工作、教学工作、管理工作都跟得上，抓得紧，做得扎实，因而校风、训风、教风、学风都极为端正，且取得了令人满意的成绩，呈现出令人可喜的局面。全年精神文明建设成效显著，学校被评为“大同市文明校园”。</w:t>
      </w:r>
    </w:p>
    <w:p>
      <w:pPr>
        <w:spacing w:line="360" w:lineRule="auto"/>
        <w:ind w:firstLine="56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二、</w:t>
      </w:r>
      <w:r>
        <w:rPr>
          <w:rFonts w:hint="eastAsia" w:ascii="仿宋_GB2312" w:hAnsi="Times New Roman" w:eastAsia="仿宋_GB2312" w:cs="Times New Roman"/>
          <w:b w:val="0"/>
          <w:bCs w:val="0"/>
          <w:kern w:val="2"/>
          <w:sz w:val="28"/>
          <w:szCs w:val="28"/>
          <w:lang w:val="uk-UA" w:eastAsia="zh-CN" w:bidi="ar-SA"/>
        </w:rPr>
        <w:t>党务工作情况</w:t>
      </w:r>
    </w:p>
    <w:p>
      <w:pPr>
        <w:spacing w:line="360" w:lineRule="auto"/>
        <w:ind w:firstLine="560"/>
        <w:jc w:val="left"/>
        <w:rPr>
          <w:rFonts w:ascii="楷体_GB2312" w:hAnsi="Calibri" w:eastAsia="楷体_GB2312" w:cs="黑体"/>
          <w:w w:val="98"/>
          <w:sz w:val="30"/>
          <w:szCs w:val="30"/>
        </w:rPr>
      </w:pPr>
      <w:r>
        <w:rPr>
          <w:rFonts w:hint="eastAsia" w:ascii="仿宋_GB2312" w:hAnsi="Times New Roman" w:eastAsia="仿宋_GB2312" w:cs="Times New Roman"/>
          <w:b w:val="0"/>
          <w:bCs w:val="0"/>
          <w:kern w:val="2"/>
          <w:sz w:val="28"/>
          <w:szCs w:val="28"/>
          <w:lang w:val="en-US" w:eastAsia="zh-CN" w:bidi="ar-SA"/>
        </w:rPr>
        <w:t>1、积极开展党史学习教育。学史明理、学史增信、学史崇德、学史力行，构建多层次多渠道的学习教育体系，注重融入日常、抓在经常，深化对中国化马克思主义既一脉相承又与时俱进的理论品质的认识，开设红船精神、长征精神、延安精神、抗议精神、奥运精神等专题学习；校领导班子组织参与专题读书班，深入开展党史学习教育，不断坚定“四个自信”，不断增强历史定力。</w:t>
      </w:r>
      <w:r>
        <w:rPr>
          <w:rFonts w:hint="eastAsia" w:ascii="楷体_GB2312" w:eastAsia="楷体_GB2312" w:cs="黑体"/>
          <w:w w:val="98"/>
          <w:sz w:val="30"/>
          <w:szCs w:val="30"/>
        </w:rPr>
        <w:t xml:space="preserve"> </w:t>
      </w:r>
      <w:r>
        <w:rPr>
          <w:rFonts w:hint="eastAsia" w:ascii="楷体_GB2312" w:eastAsia="楷体_GB2312" w:cs="黑体"/>
          <w:w w:val="98"/>
          <w:sz w:val="30"/>
          <w:szCs w:val="30"/>
        </w:rPr>
        <w:drawing>
          <wp:inline distT="0" distB="0" distL="0" distR="0">
            <wp:extent cx="2541270" cy="1649730"/>
            <wp:effectExtent l="0" t="0" r="11430" b="7620"/>
            <wp:docPr id="80" name="图片 0" descr="微信图片_20210323125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0" descr="微信图片_202103231251073.jpg"/>
                    <pic:cNvPicPr>
                      <a:picLocks noChangeAspect="1"/>
                    </pic:cNvPicPr>
                  </pic:nvPicPr>
                  <pic:blipFill>
                    <a:blip r:embed="rId96" cstate="print"/>
                    <a:stretch>
                      <a:fillRect/>
                    </a:stretch>
                  </pic:blipFill>
                  <pic:spPr>
                    <a:xfrm>
                      <a:off x="0" y="0"/>
                      <a:ext cx="2541270" cy="1653314"/>
                    </a:xfrm>
                    <a:prstGeom prst="rect">
                      <a:avLst/>
                    </a:prstGeom>
                  </pic:spPr>
                </pic:pic>
              </a:graphicData>
            </a:graphic>
          </wp:inline>
        </w:drawing>
      </w:r>
      <w:r>
        <w:rPr>
          <w:rFonts w:hint="eastAsia" w:ascii="楷体_GB2312" w:eastAsia="楷体_GB2312" w:cs="黑体"/>
          <w:w w:val="98"/>
          <w:sz w:val="30"/>
          <w:szCs w:val="30"/>
          <w:lang w:val="en-US" w:eastAsia="zh-CN"/>
        </w:rPr>
        <w:t xml:space="preserve"> </w:t>
      </w:r>
      <w:r>
        <w:rPr>
          <w:rFonts w:ascii="楷体_GB2312" w:hAnsi="Calibri" w:eastAsia="楷体_GB2312" w:cs="黑体"/>
          <w:w w:val="98"/>
          <w:sz w:val="30"/>
          <w:szCs w:val="30"/>
        </w:rPr>
        <w:drawing>
          <wp:inline distT="0" distB="0" distL="0" distR="0">
            <wp:extent cx="2526665" cy="1668780"/>
            <wp:effectExtent l="0" t="0" r="6985" b="7620"/>
            <wp:docPr id="82" name="图片 4" descr="C:\Users\Administrator\Desktop\党史\党史照片\微信图片_202103231251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descr="C:\Users\Administrator\Desktop\党史\党史照片\微信图片_2021032312510721.jpg"/>
                    <pic:cNvPicPr>
                      <a:picLocks noChangeAspect="1" noChangeArrowheads="1"/>
                    </pic:cNvPicPr>
                  </pic:nvPicPr>
                  <pic:blipFill>
                    <a:blip r:embed="rId97" cstate="print"/>
                    <a:srcRect/>
                    <a:stretch>
                      <a:fillRect/>
                    </a:stretch>
                  </pic:blipFill>
                  <pic:spPr>
                    <a:xfrm>
                      <a:off x="0" y="0"/>
                      <a:ext cx="2526665" cy="1668780"/>
                    </a:xfrm>
                    <a:prstGeom prst="rect">
                      <a:avLst/>
                    </a:prstGeom>
                    <a:noFill/>
                    <a:ln w="9525">
                      <a:noFill/>
                      <a:miter lim="800000"/>
                      <a:headEnd/>
                      <a:tailEnd/>
                    </a:ln>
                  </pic:spPr>
                </pic:pic>
              </a:graphicData>
            </a:graphic>
          </wp:inline>
        </w:drawing>
      </w:r>
    </w:p>
    <w:p>
      <w:pPr>
        <w:spacing w:line="360" w:lineRule="auto"/>
        <w:ind w:firstLine="56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2、习总书记在党史学习教育动员大会上强调，全党同志要做到学史增信、学史崇德，以高昂姿态奋力开启全面建设社会主义现代化国家新征程，以优异成绩迎接建党一百周年，校党总支举行现处级领导党史学习教育专题研讨会。</w:t>
      </w:r>
    </w:p>
    <w:p>
      <w:pPr>
        <w:pStyle w:val="13"/>
        <w:shd w:val="clear" w:color="auto" w:fill="FFFFFF"/>
        <w:spacing w:before="300" w:beforeAutospacing="0" w:after="300" w:afterAutospacing="0"/>
        <w:jc w:val="left"/>
        <w:rPr>
          <w:rFonts w:hint="eastAsia" w:ascii="楷体_GB2312" w:hAnsi="Calibri" w:eastAsia="楷体_GB2312" w:cs="黑体"/>
          <w:w w:val="98"/>
          <w:sz w:val="30"/>
          <w:szCs w:val="30"/>
          <w:lang w:eastAsia="zh-CN"/>
        </w:rPr>
      </w:pPr>
      <w:r>
        <w:rPr>
          <w:rFonts w:hint="eastAsia" w:ascii="楷体_GB2312" w:hAnsi="Calibri" w:eastAsia="楷体_GB2312" w:cs="黑体"/>
          <w:w w:val="98"/>
          <w:sz w:val="30"/>
          <w:szCs w:val="30"/>
        </w:rPr>
        <w:t xml:space="preserve"> </w:t>
      </w:r>
      <w:r>
        <w:rPr>
          <w:rFonts w:hint="eastAsia" w:ascii="楷体_GB2312" w:hAnsi="Calibri" w:eastAsia="楷体_GB2312" w:cs="黑体"/>
          <w:w w:val="98"/>
          <w:sz w:val="30"/>
          <w:szCs w:val="30"/>
          <w:lang w:eastAsia="zh-CN"/>
        </w:rPr>
        <w:drawing>
          <wp:inline distT="0" distB="0" distL="114300" distR="114300">
            <wp:extent cx="5142230" cy="2091055"/>
            <wp:effectExtent l="0" t="0" r="1270" b="4445"/>
            <wp:docPr id="45" name="图片 4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5"/>
                    <pic:cNvPicPr>
                      <a:picLocks noChangeAspect="1"/>
                    </pic:cNvPicPr>
                  </pic:nvPicPr>
                  <pic:blipFill>
                    <a:blip r:embed="rId98"/>
                    <a:stretch>
                      <a:fillRect/>
                    </a:stretch>
                  </pic:blipFill>
                  <pic:spPr>
                    <a:xfrm>
                      <a:off x="0" y="0"/>
                      <a:ext cx="5142230" cy="2091055"/>
                    </a:xfrm>
                    <a:prstGeom prst="rect">
                      <a:avLst/>
                    </a:prstGeom>
                  </pic:spPr>
                </pic:pic>
              </a:graphicData>
            </a:graphic>
          </wp:inline>
        </w:drawing>
      </w:r>
    </w:p>
    <w:p>
      <w:pPr>
        <w:spacing w:line="360" w:lineRule="auto"/>
        <w:ind w:firstLine="56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3、忆峥嵘岁月，看今朝成就，党的百年历史，是一部感天动地的史诗，也是一首豪情壮志的赞歌；是一部践行党的初心使命的历史，也是一部党与人民心连心、同呼吸、共命运的历史。习近平总书记指出，要把丰富的红色资源作为主题教育的生动教材，引导广大党员干部深入学习党史、新中国史、改革开放史，让初心薪火相传，把使命勇担在肩。</w:t>
      </w:r>
    </w:p>
    <w:p>
      <w:pPr>
        <w:spacing w:line="360" w:lineRule="auto"/>
        <w:ind w:firstLine="56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3月31日上午，我校近30名党员来到大同市红色记忆馆，学习红色文化、聆听红色故事、追寻红色足迹，接受思想洗礼，坚定红色信仰，以昂扬之姿迎接建党100周年的到来。</w:t>
      </w:r>
    </w:p>
    <w:p>
      <w:pPr>
        <w:spacing w:line="220" w:lineRule="atLeast"/>
        <w:rPr>
          <w:rFonts w:ascii="楷体_GB2312" w:eastAsia="楷体_GB2312" w:cs="黑体"/>
          <w:w w:val="98"/>
          <w:sz w:val="30"/>
          <w:szCs w:val="30"/>
        </w:rPr>
      </w:pPr>
      <w:r>
        <w:rPr>
          <w:rFonts w:ascii="楷体_GB2312" w:eastAsia="楷体_GB2312" w:cs="黑体"/>
          <w:w w:val="98"/>
          <w:sz w:val="30"/>
          <w:szCs w:val="30"/>
        </w:rPr>
        <w:drawing>
          <wp:inline distT="0" distB="0" distL="0" distR="0">
            <wp:extent cx="2573020" cy="1824990"/>
            <wp:effectExtent l="0" t="0" r="17780" b="3810"/>
            <wp:docPr id="85" name="图片 0" descr="IMG_9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0" descr="IMG_9093.jpg"/>
                    <pic:cNvPicPr>
                      <a:picLocks noChangeAspect="1"/>
                    </pic:cNvPicPr>
                  </pic:nvPicPr>
                  <pic:blipFill>
                    <a:blip r:embed="rId99" cstate="print"/>
                    <a:stretch>
                      <a:fillRect/>
                    </a:stretch>
                  </pic:blipFill>
                  <pic:spPr>
                    <a:xfrm>
                      <a:off x="0" y="0"/>
                      <a:ext cx="2573020" cy="1824990"/>
                    </a:xfrm>
                    <a:prstGeom prst="rect">
                      <a:avLst/>
                    </a:prstGeom>
                  </pic:spPr>
                </pic:pic>
              </a:graphicData>
            </a:graphic>
          </wp:inline>
        </w:drawing>
      </w:r>
      <w:r>
        <w:rPr>
          <w:rFonts w:hint="eastAsia" w:ascii="楷体_GB2312" w:eastAsia="楷体_GB2312" w:cs="黑体"/>
          <w:w w:val="98"/>
          <w:sz w:val="30"/>
          <w:szCs w:val="30"/>
          <w:lang w:val="en-US" w:eastAsia="zh-CN"/>
        </w:rPr>
        <w:t xml:space="preserve"> </w:t>
      </w:r>
      <w:r>
        <w:rPr>
          <w:rFonts w:ascii="楷体_GB2312" w:eastAsia="楷体_GB2312" w:cs="黑体"/>
          <w:w w:val="98"/>
          <w:sz w:val="30"/>
          <w:szCs w:val="30"/>
        </w:rPr>
        <w:drawing>
          <wp:inline distT="0" distB="0" distL="0" distR="0">
            <wp:extent cx="2548890" cy="1811655"/>
            <wp:effectExtent l="0" t="0" r="3810" b="17145"/>
            <wp:docPr id="89" name="图片 4" descr="IMG_9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 descr="IMG_9145.JPG"/>
                    <pic:cNvPicPr>
                      <a:picLocks noChangeAspect="1"/>
                    </pic:cNvPicPr>
                  </pic:nvPicPr>
                  <pic:blipFill>
                    <a:blip r:embed="rId100" cstate="print"/>
                    <a:stretch>
                      <a:fillRect/>
                    </a:stretch>
                  </pic:blipFill>
                  <pic:spPr>
                    <a:xfrm>
                      <a:off x="0" y="0"/>
                      <a:ext cx="2548890" cy="1811655"/>
                    </a:xfrm>
                    <a:prstGeom prst="rect">
                      <a:avLst/>
                    </a:prstGeom>
                  </pic:spPr>
                </pic:pic>
              </a:graphicData>
            </a:graphic>
          </wp:inline>
        </w:drawing>
      </w:r>
    </w:p>
    <w:p>
      <w:pPr>
        <w:spacing w:line="360" w:lineRule="auto"/>
        <w:ind w:firstLine="56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革命烈士的感人故事，让我们的心情久久不能平静。一个多小时的学习，也让我们的历史使命感倍增。作为和平年代的体育教育工作者，立德树人是我们的根本任务，我们要从党史学习教育中汲取前行的智慧和力量，不断加强学校党的建设，为培养德智体美劳全面发展的社会主义建设者和接班人、培养担当民族复兴大任的时代新人而努力奋斗。</w:t>
      </w:r>
    </w:p>
    <w:p>
      <w:pPr>
        <w:spacing w:line="360" w:lineRule="auto"/>
        <w:ind w:firstLine="56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最后，全体党员同志在党旗下高举右臂，重温入党誓言。高亢激昂的声音在馆内回荡，也在每个党员的心中回响。它激励我们在工作和生活中发扬敢为人先、永远奋斗的精神，忠实守护共产党人的初心和使命，做红色精神的坚定传承者和自觉践行者。</w:t>
      </w:r>
    </w:p>
    <w:p>
      <w:pPr>
        <w:spacing w:line="360" w:lineRule="auto"/>
        <w:ind w:firstLine="560"/>
        <w:rPr>
          <w:rFonts w:ascii="楷体_GB2312" w:eastAsia="楷体_GB2312" w:cs="黑体"/>
          <w:w w:val="98"/>
          <w:sz w:val="30"/>
          <w:szCs w:val="30"/>
        </w:rPr>
      </w:pPr>
      <w:r>
        <w:rPr>
          <w:rFonts w:hint="eastAsia" w:ascii="仿宋_GB2312" w:hAnsi="Times New Roman" w:eastAsia="仿宋_GB2312" w:cs="Times New Roman"/>
          <w:b w:val="0"/>
          <w:bCs w:val="0"/>
          <w:kern w:val="2"/>
          <w:sz w:val="28"/>
          <w:szCs w:val="28"/>
          <w:lang w:val="en-US" w:eastAsia="zh-CN" w:bidi="ar-SA"/>
        </w:rPr>
        <w:t>4、坚持推进党课制度。6月16日上午，大同市体育运动学校党总支书记甄泽斌在学校多功能厅围绕“井冈山斗争与井冈山精神”给全校党员干部、入党积极分子讲了一堂精彩的党史学习教育专题党课。</w:t>
      </w:r>
      <w:r>
        <w:rPr>
          <w:rFonts w:hint="eastAsia" w:ascii="仿宋_GB2312" w:hAnsi="Times New Roman" w:eastAsia="仿宋_GB2312" w:cs="Times New Roman"/>
          <w:b w:val="0"/>
          <w:bCs w:val="0"/>
          <w:kern w:val="2"/>
          <w:sz w:val="28"/>
          <w:szCs w:val="28"/>
          <w:lang w:val="en-US" w:eastAsia="zh-CN" w:bidi="ar-SA"/>
        </w:rPr>
        <w:br w:type="textWrapping"/>
      </w:r>
      <w:r>
        <w:rPr>
          <w:rFonts w:hint="eastAsia" w:ascii="楷体_GB2312" w:eastAsia="楷体_GB2312" w:cs="黑体"/>
          <w:w w:val="98"/>
          <w:sz w:val="30"/>
          <w:szCs w:val="30"/>
        </w:rPr>
        <w:t xml:space="preserve"> </w:t>
      </w:r>
      <w:r>
        <w:rPr>
          <w:rFonts w:ascii="楷体_GB2312" w:eastAsia="楷体_GB2312" w:cs="黑体"/>
          <w:w w:val="98"/>
          <w:sz w:val="30"/>
          <w:szCs w:val="30"/>
        </w:rPr>
        <w:drawing>
          <wp:inline distT="0" distB="0" distL="0" distR="0">
            <wp:extent cx="2472690" cy="1562735"/>
            <wp:effectExtent l="0" t="0" r="3810" b="18415"/>
            <wp:docPr id="90" name="图片 14" descr="C:\Users\Administrator\Desktop\党史\党课\照片\IMG_9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4" descr="C:\Users\Administrator\Desktop\党史\党课\照片\IMG_9772.JPG"/>
                    <pic:cNvPicPr>
                      <a:picLocks noChangeAspect="1" noChangeArrowheads="1"/>
                    </pic:cNvPicPr>
                  </pic:nvPicPr>
                  <pic:blipFill>
                    <a:blip r:embed="rId101" cstate="print"/>
                    <a:srcRect/>
                    <a:stretch>
                      <a:fillRect/>
                    </a:stretch>
                  </pic:blipFill>
                  <pic:spPr>
                    <a:xfrm>
                      <a:off x="0" y="0"/>
                      <a:ext cx="2472690" cy="1562735"/>
                    </a:xfrm>
                    <a:prstGeom prst="rect">
                      <a:avLst/>
                    </a:prstGeom>
                    <a:noFill/>
                    <a:ln w="9525">
                      <a:noFill/>
                      <a:miter lim="800000"/>
                      <a:headEnd/>
                      <a:tailEnd/>
                    </a:ln>
                  </pic:spPr>
                </pic:pic>
              </a:graphicData>
            </a:graphic>
          </wp:inline>
        </w:drawing>
      </w:r>
      <w:r>
        <w:rPr>
          <w:rFonts w:hint="eastAsia" w:ascii="楷体_GB2312" w:eastAsia="楷体_GB2312" w:cs="黑体"/>
          <w:w w:val="98"/>
          <w:sz w:val="30"/>
          <w:szCs w:val="30"/>
        </w:rPr>
        <w:t xml:space="preserve"> </w:t>
      </w:r>
      <w:r>
        <w:rPr>
          <w:rFonts w:ascii="楷体_GB2312" w:eastAsia="楷体_GB2312" w:cs="黑体"/>
          <w:w w:val="98"/>
          <w:sz w:val="30"/>
          <w:szCs w:val="30"/>
        </w:rPr>
        <w:drawing>
          <wp:inline distT="0" distB="0" distL="0" distR="0">
            <wp:extent cx="2547620" cy="1578610"/>
            <wp:effectExtent l="0" t="0" r="5080" b="2540"/>
            <wp:docPr id="91" name="图片 0" descr="微信图片_2021062508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0" descr="微信图片_20210625084450.jpg"/>
                    <pic:cNvPicPr>
                      <a:picLocks noChangeAspect="1"/>
                    </pic:cNvPicPr>
                  </pic:nvPicPr>
                  <pic:blipFill>
                    <a:blip r:embed="rId102" cstate="print"/>
                    <a:stretch>
                      <a:fillRect/>
                    </a:stretch>
                  </pic:blipFill>
                  <pic:spPr>
                    <a:xfrm>
                      <a:off x="0" y="0"/>
                      <a:ext cx="2547620" cy="1578610"/>
                    </a:xfrm>
                    <a:prstGeom prst="rect">
                      <a:avLst/>
                    </a:prstGeom>
                  </pic:spPr>
                </pic:pic>
              </a:graphicData>
            </a:graphic>
          </wp:inline>
        </w:drawing>
      </w:r>
    </w:p>
    <w:p>
      <w:pPr>
        <w:spacing w:line="360" w:lineRule="auto"/>
        <w:ind w:firstLine="56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甄泽斌书记运用丰富的历史资料、深厚的理论功底、生动的历史事件，详细讲述了1840年后近代中国的屈辱历史，以及严峻的革命形势。深刻对比中国革命与俄国革命的相同点与不同点，阐述了我国在当时的国情下不能照搬别人的经验，必须走出一条自己的革命道路的历史必然性。他从井冈山时期的国际、国内形势，井冈山革命根据地的创立、巩固、发展和坚持斗争的光辉历程几个方面，深情回顾了井冈山时期中国共产党人艰苦卓绝的斗争和开天辟地的探索，系统阐述了井冈山斗争对中国共产党领导的中国革命走向最终胜利产生的重大意义和井冈山精神的丰富内涵，全面分析了传承红色基因、牢记初心使命的现实意义。</w:t>
      </w:r>
    </w:p>
    <w:p>
      <w:pPr>
        <w:jc w:val="center"/>
        <w:rPr>
          <w:rFonts w:ascii="楷体_GB2312" w:eastAsia="楷体_GB2312" w:cs="黑体"/>
          <w:w w:val="98"/>
          <w:sz w:val="30"/>
          <w:szCs w:val="30"/>
        </w:rPr>
      </w:pPr>
      <w:r>
        <w:rPr>
          <w:rFonts w:ascii="楷体_GB2312" w:eastAsia="楷体_GB2312" w:cs="黑体"/>
          <w:w w:val="98"/>
          <w:sz w:val="30"/>
          <w:szCs w:val="30"/>
        </w:rPr>
        <w:drawing>
          <wp:inline distT="0" distB="0" distL="0" distR="0">
            <wp:extent cx="4989195" cy="2030730"/>
            <wp:effectExtent l="0" t="0" r="1905" b="7620"/>
            <wp:docPr id="92" name="图片 1" descr="微信图片_2021062508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descr="微信图片_20210625084432.jpg"/>
                    <pic:cNvPicPr>
                      <a:picLocks noChangeAspect="1"/>
                    </pic:cNvPicPr>
                  </pic:nvPicPr>
                  <pic:blipFill>
                    <a:blip r:embed="rId103" cstate="print"/>
                    <a:stretch>
                      <a:fillRect/>
                    </a:stretch>
                  </pic:blipFill>
                  <pic:spPr>
                    <a:xfrm>
                      <a:off x="0" y="0"/>
                      <a:ext cx="4989195" cy="2031599"/>
                    </a:xfrm>
                    <a:prstGeom prst="rect">
                      <a:avLst/>
                    </a:prstGeom>
                  </pic:spPr>
                </pic:pic>
              </a:graphicData>
            </a:graphic>
          </wp:inline>
        </w:drawing>
      </w:r>
    </w:p>
    <w:p>
      <w:pPr>
        <w:spacing w:line="360" w:lineRule="auto"/>
        <w:ind w:firstLine="56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5、6月16日上午校党总支组织全体党员领导干部认真学习贯彻习近平总书记在青海考察期间重要讲话精神的会议。会议由副校长魏继雄主持，校长兰雷在会上传达了省委、市委《关于认真学习贯彻习近平总书记在青海考察期间重要讲话精神的通知》，副校长范会洋带大家学习了习近平总书记青海考察期间的重要讲话精神。</w:t>
      </w:r>
    </w:p>
    <w:p>
      <w:pPr>
        <w:jc w:val="center"/>
        <w:rPr>
          <w:rFonts w:ascii="楷体_GB2312" w:eastAsia="楷体_GB2312" w:cs="黑体"/>
          <w:w w:val="98"/>
          <w:sz w:val="30"/>
          <w:szCs w:val="30"/>
        </w:rPr>
      </w:pPr>
      <w:r>
        <w:rPr>
          <w:rFonts w:ascii="楷体_GB2312" w:eastAsia="楷体_GB2312" w:cs="黑体"/>
          <w:w w:val="98"/>
          <w:sz w:val="30"/>
          <w:szCs w:val="30"/>
        </w:rPr>
        <w:drawing>
          <wp:inline distT="0" distB="0" distL="0" distR="0">
            <wp:extent cx="4982210" cy="1974850"/>
            <wp:effectExtent l="0" t="0" r="8890" b="6350"/>
            <wp:docPr id="93" name="图片 15" descr="C:\Users\Administrator\Desktop\党史\党课\照片\IMG_9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5" descr="C:\Users\Administrator\Desktop\党史\党课\照片\IMG_9775.JPG"/>
                    <pic:cNvPicPr>
                      <a:picLocks noChangeAspect="1" noChangeArrowheads="1"/>
                    </pic:cNvPicPr>
                  </pic:nvPicPr>
                  <pic:blipFill>
                    <a:blip r:embed="rId104" cstate="print"/>
                    <a:srcRect/>
                    <a:stretch>
                      <a:fillRect/>
                    </a:stretch>
                  </pic:blipFill>
                  <pic:spPr>
                    <a:xfrm>
                      <a:off x="0" y="0"/>
                      <a:ext cx="4982210" cy="1978052"/>
                    </a:xfrm>
                    <a:prstGeom prst="rect">
                      <a:avLst/>
                    </a:prstGeom>
                    <a:noFill/>
                    <a:ln w="9525">
                      <a:noFill/>
                      <a:miter lim="800000"/>
                      <a:headEnd/>
                      <a:tailEnd/>
                    </a:ln>
                  </pic:spPr>
                </pic:pic>
              </a:graphicData>
            </a:graphic>
          </wp:inline>
        </w:drawing>
      </w:r>
    </w:p>
    <w:p>
      <w:pPr>
        <w:ind w:firstLine="560" w:firstLineChars="200"/>
        <w:rPr>
          <w:rFonts w:ascii="楷体_GB2312" w:eastAsia="楷体_GB2312" w:cs="黑体"/>
          <w:w w:val="98"/>
          <w:sz w:val="30"/>
          <w:szCs w:val="30"/>
        </w:rPr>
      </w:pPr>
      <w:r>
        <w:rPr>
          <w:rFonts w:hint="eastAsia" w:ascii="仿宋_GB2312" w:hAnsi="Times New Roman" w:eastAsia="仿宋_GB2312" w:cs="Times New Roman"/>
          <w:b w:val="0"/>
          <w:bCs w:val="0"/>
          <w:kern w:val="2"/>
          <w:sz w:val="28"/>
          <w:szCs w:val="28"/>
          <w:lang w:val="en-US" w:eastAsia="zh-CN" w:bidi="ar-SA"/>
        </w:rPr>
        <w:t>6、组织全体党员领导干部和入党积极分子开展了“庆祝建党100周年党史应知应会知识答题”活动。</w:t>
      </w:r>
    </w:p>
    <w:p>
      <w:pPr>
        <w:shd w:val="clear" w:color="auto" w:fill="FFFFFF"/>
        <w:jc w:val="left"/>
        <w:rPr>
          <w:rFonts w:ascii="楷体_GB2312" w:eastAsia="楷体_GB2312" w:cs="黑体"/>
          <w:w w:val="98"/>
          <w:sz w:val="30"/>
          <w:szCs w:val="30"/>
        </w:rPr>
      </w:pPr>
      <w:r>
        <w:rPr>
          <w:rFonts w:ascii="楷体_GB2312" w:eastAsia="楷体_GB2312" w:cs="黑体"/>
          <w:w w:val="98"/>
          <w:sz w:val="30"/>
          <w:szCs w:val="30"/>
        </w:rPr>
        <w:drawing>
          <wp:inline distT="0" distB="0" distL="0" distR="0">
            <wp:extent cx="2586990" cy="1545590"/>
            <wp:effectExtent l="0" t="0" r="3810" b="16510"/>
            <wp:docPr id="94" name="图片 16" descr="C:\Users\Administrator\Desktop\党史\党课\照片\IMG_9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6" descr="C:\Users\Administrator\Desktop\党史\党课\照片\IMG_9783.JPG"/>
                    <pic:cNvPicPr>
                      <a:picLocks noChangeAspect="1" noChangeArrowheads="1"/>
                    </pic:cNvPicPr>
                  </pic:nvPicPr>
                  <pic:blipFill>
                    <a:blip r:embed="rId105" cstate="print"/>
                    <a:srcRect/>
                    <a:stretch>
                      <a:fillRect/>
                    </a:stretch>
                  </pic:blipFill>
                  <pic:spPr>
                    <a:xfrm>
                      <a:off x="0" y="0"/>
                      <a:ext cx="2586990" cy="1545590"/>
                    </a:xfrm>
                    <a:prstGeom prst="rect">
                      <a:avLst/>
                    </a:prstGeom>
                    <a:noFill/>
                    <a:ln w="9525">
                      <a:noFill/>
                      <a:miter lim="800000"/>
                      <a:headEnd/>
                      <a:tailEnd/>
                    </a:ln>
                  </pic:spPr>
                </pic:pic>
              </a:graphicData>
            </a:graphic>
          </wp:inline>
        </w:drawing>
      </w:r>
      <w:r>
        <w:rPr>
          <w:rFonts w:hint="eastAsia" w:ascii="楷体_GB2312" w:eastAsia="楷体_GB2312" w:cs="黑体"/>
          <w:w w:val="98"/>
          <w:sz w:val="30"/>
          <w:szCs w:val="30"/>
          <w:lang w:val="en-US" w:eastAsia="zh-CN"/>
        </w:rPr>
        <w:t xml:space="preserve"> </w:t>
      </w:r>
      <w:r>
        <w:rPr>
          <w:rFonts w:ascii="楷体_GB2312" w:eastAsia="楷体_GB2312" w:cs="黑体"/>
          <w:w w:val="98"/>
          <w:sz w:val="30"/>
          <w:szCs w:val="30"/>
        </w:rPr>
        <w:drawing>
          <wp:inline distT="0" distB="0" distL="0" distR="0">
            <wp:extent cx="2521585" cy="1541780"/>
            <wp:effectExtent l="0" t="0" r="12065" b="1270"/>
            <wp:docPr id="95" name="图片 17" descr="C:\Users\Administrator\Desktop\党史\党课\照片\IMG_9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7" descr="C:\Users\Administrator\Desktop\党史\党课\照片\IMG_9781.JPG"/>
                    <pic:cNvPicPr>
                      <a:picLocks noChangeAspect="1" noChangeArrowheads="1"/>
                    </pic:cNvPicPr>
                  </pic:nvPicPr>
                  <pic:blipFill>
                    <a:blip r:embed="rId106" cstate="print"/>
                    <a:srcRect/>
                    <a:stretch>
                      <a:fillRect/>
                    </a:stretch>
                  </pic:blipFill>
                  <pic:spPr>
                    <a:xfrm>
                      <a:off x="0" y="0"/>
                      <a:ext cx="2521585" cy="1541780"/>
                    </a:xfrm>
                    <a:prstGeom prst="rect">
                      <a:avLst/>
                    </a:prstGeom>
                    <a:noFill/>
                    <a:ln w="9525">
                      <a:noFill/>
                      <a:miter lim="800000"/>
                      <a:headEnd/>
                      <a:tailEnd/>
                    </a:ln>
                  </pic:spPr>
                </pic:pic>
              </a:graphicData>
            </a:graphic>
          </wp:inline>
        </w:drawing>
      </w:r>
    </w:p>
    <w:p>
      <w:pPr>
        <w:ind w:firstLine="700" w:firstLineChars="250"/>
        <w:rPr>
          <w:rFonts w:ascii="楷体_GB2312" w:eastAsia="楷体_GB2312" w:cs="黑体"/>
          <w:w w:val="98"/>
          <w:sz w:val="30"/>
          <w:szCs w:val="30"/>
        </w:rPr>
      </w:pPr>
      <w:r>
        <w:rPr>
          <w:rFonts w:hint="eastAsia" w:ascii="仿宋_GB2312" w:hAnsi="Times New Roman" w:eastAsia="仿宋_GB2312" w:cs="Times New Roman"/>
          <w:b w:val="0"/>
          <w:bCs w:val="0"/>
          <w:kern w:val="2"/>
          <w:sz w:val="28"/>
          <w:szCs w:val="28"/>
          <w:lang w:val="en-US" w:eastAsia="zh-CN" w:bidi="ar-SA"/>
        </w:rPr>
        <w:t>7、组织好思政课专题培训，今年是中国共产党成立一百周年，是十四五规划开启的第一个年头，也是开启第二个百年奋斗目标的起点。三月份以来，我校党史学习教育工作蓬勃开展，各项工作有序推进。4月20日上午，校领导及学校师生走进“党史教育大课堂”， 共同聆听由苏钦老师为我们讲述的百年故事。</w:t>
      </w:r>
    </w:p>
    <w:p>
      <w:pPr>
        <w:jc w:val="center"/>
        <w:rPr>
          <w:rFonts w:ascii="楷体_GB2312" w:eastAsia="楷体_GB2312" w:cs="黑体"/>
          <w:w w:val="98"/>
          <w:sz w:val="30"/>
          <w:szCs w:val="30"/>
        </w:rPr>
      </w:pPr>
      <w:r>
        <w:rPr>
          <w:rFonts w:ascii="楷体_GB2312" w:eastAsia="楷体_GB2312" w:cs="黑体"/>
          <w:w w:val="98"/>
          <w:sz w:val="30"/>
          <w:szCs w:val="30"/>
        </w:rPr>
        <w:drawing>
          <wp:inline distT="0" distB="0" distL="0" distR="0">
            <wp:extent cx="5004435" cy="2002155"/>
            <wp:effectExtent l="0" t="0" r="5715" b="17145"/>
            <wp:docPr id="96" name="图片 4" descr="C:\Users\ADMINI~1\AppData\Local\Temp\WeChat Files\eca6b6a2a05f521e5c4d8ddd8706b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 descr="C:\Users\ADMINI~1\AppData\Local\Temp\WeChat Files\eca6b6a2a05f521e5c4d8ddd8706bb5.jpg"/>
                    <pic:cNvPicPr>
                      <a:picLocks noChangeAspect="1" noChangeArrowheads="1"/>
                    </pic:cNvPicPr>
                  </pic:nvPicPr>
                  <pic:blipFill>
                    <a:blip r:embed="rId107" cstate="print"/>
                    <a:srcRect r="12314"/>
                    <a:stretch>
                      <a:fillRect/>
                    </a:stretch>
                  </pic:blipFill>
                  <pic:spPr>
                    <a:xfrm>
                      <a:off x="0" y="0"/>
                      <a:ext cx="5004435" cy="2002155"/>
                    </a:xfrm>
                    <a:prstGeom prst="rect">
                      <a:avLst/>
                    </a:prstGeom>
                    <a:noFill/>
                    <a:ln w="9525">
                      <a:noFill/>
                      <a:miter lim="800000"/>
                      <a:headEnd/>
                      <a:tailEnd/>
                    </a:ln>
                  </pic:spPr>
                </pic:pic>
              </a:graphicData>
            </a:graphic>
          </wp:inline>
        </w:drawing>
      </w:r>
    </w:p>
    <w:p>
      <w:pPr>
        <w:ind w:firstLine="560" w:firstLineChars="200"/>
        <w:rPr>
          <w:rFonts w:ascii="楷体_GB2312" w:eastAsia="楷体_GB2312" w:cs="黑体"/>
          <w:w w:val="98"/>
          <w:sz w:val="30"/>
          <w:szCs w:val="30"/>
        </w:rPr>
      </w:pPr>
      <w:r>
        <w:rPr>
          <w:rFonts w:hint="eastAsia" w:ascii="仿宋_GB2312" w:hAnsi="Times New Roman" w:eastAsia="仿宋_GB2312" w:cs="Times New Roman"/>
          <w:b w:val="0"/>
          <w:bCs w:val="0"/>
          <w:kern w:val="2"/>
          <w:sz w:val="28"/>
          <w:szCs w:val="28"/>
          <w:lang w:val="en-US" w:eastAsia="zh-CN" w:bidi="ar-SA"/>
        </w:rPr>
        <w:t>历史是最好的教科书，学习百年党史是坚持和发展中国特色社会主义、推进党和国家事业继续向前的一门“必修课”，这门功课每个人不仅必修，而且必须修好。我们党的历史是中国近现代以来历史最为可歌可泣的篇章，党涌现了许多鼓舞人心，感人肺腑的故事，形成了红船精神、井冈山精神、长征精神、航天精神、抗洪精神、防疫精神、体育精神等一系列具有鲜明时代特征的光辉伟大精神，为一代又一代共产党人提供了强大的精神食粮和前进动力。</w:t>
      </w:r>
    </w:p>
    <w:p>
      <w:pPr>
        <w:jc w:val="left"/>
        <w:rPr>
          <w:rFonts w:ascii="楷体_GB2312" w:eastAsia="楷体_GB2312" w:cs="黑体"/>
          <w:w w:val="98"/>
          <w:sz w:val="30"/>
          <w:szCs w:val="30"/>
        </w:rPr>
      </w:pPr>
      <w:r>
        <w:rPr>
          <w:rFonts w:ascii="楷体_GB2312" w:eastAsia="楷体_GB2312" w:cs="黑体"/>
          <w:w w:val="98"/>
          <w:sz w:val="30"/>
          <w:szCs w:val="30"/>
        </w:rPr>
        <w:drawing>
          <wp:inline distT="0" distB="0" distL="0" distR="0">
            <wp:extent cx="2593340" cy="1486535"/>
            <wp:effectExtent l="0" t="0" r="16510" b="18415"/>
            <wp:docPr id="97" name="图片 97" descr="C:\Users\ADMINI~1\AppData\Local\Temp\WeChat Files\97358c7f95ec6db12b3633893cdbc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Users\ADMINI~1\AppData\Local\Temp\WeChat Files\97358c7f95ec6db12b3633893cdbc6a.jpg"/>
                    <pic:cNvPicPr>
                      <a:picLocks noChangeAspect="1" noChangeArrowheads="1"/>
                    </pic:cNvPicPr>
                  </pic:nvPicPr>
                  <pic:blipFill>
                    <a:blip r:embed="rId108" cstate="print"/>
                    <a:srcRect/>
                    <a:stretch>
                      <a:fillRect/>
                    </a:stretch>
                  </pic:blipFill>
                  <pic:spPr>
                    <a:xfrm>
                      <a:off x="0" y="0"/>
                      <a:ext cx="2593340" cy="1486535"/>
                    </a:xfrm>
                    <a:prstGeom prst="rect">
                      <a:avLst/>
                    </a:prstGeom>
                    <a:noFill/>
                    <a:ln w="9525">
                      <a:noFill/>
                      <a:miter lim="800000"/>
                      <a:headEnd/>
                      <a:tailEnd/>
                    </a:ln>
                  </pic:spPr>
                </pic:pic>
              </a:graphicData>
            </a:graphic>
          </wp:inline>
        </w:drawing>
      </w:r>
      <w:r>
        <w:rPr>
          <w:rFonts w:hint="eastAsia" w:ascii="楷体_GB2312" w:eastAsia="楷体_GB2312" w:cs="黑体"/>
          <w:w w:val="98"/>
          <w:sz w:val="30"/>
          <w:szCs w:val="30"/>
        </w:rPr>
        <w:t xml:space="preserve"> </w:t>
      </w:r>
      <w:r>
        <w:rPr>
          <w:rFonts w:ascii="楷体_GB2312" w:eastAsia="楷体_GB2312" w:cs="黑体"/>
          <w:w w:val="98"/>
          <w:sz w:val="30"/>
          <w:szCs w:val="30"/>
        </w:rPr>
        <w:drawing>
          <wp:inline distT="0" distB="0" distL="0" distR="0">
            <wp:extent cx="2551430" cy="1517650"/>
            <wp:effectExtent l="0" t="0" r="1270" b="6350"/>
            <wp:docPr id="98" name="图片 5" descr="C:\Users\ADMINI~1\AppData\Local\Temp\WeChat Files\01dc2d2bf29fc24e9aa4c2436b6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 descr="C:\Users\ADMINI~1\AppData\Local\Temp\WeChat Files\01dc2d2bf29fc24e9aa4c2436b62014.jpg"/>
                    <pic:cNvPicPr>
                      <a:picLocks noChangeAspect="1" noChangeArrowheads="1"/>
                    </pic:cNvPicPr>
                  </pic:nvPicPr>
                  <pic:blipFill>
                    <a:blip r:embed="rId109" cstate="print"/>
                    <a:srcRect/>
                    <a:stretch>
                      <a:fillRect/>
                    </a:stretch>
                  </pic:blipFill>
                  <pic:spPr>
                    <a:xfrm>
                      <a:off x="0" y="0"/>
                      <a:ext cx="2551430" cy="1517650"/>
                    </a:xfrm>
                    <a:prstGeom prst="rect">
                      <a:avLst/>
                    </a:prstGeom>
                    <a:noFill/>
                    <a:ln w="9525">
                      <a:noFill/>
                      <a:miter lim="800000"/>
                      <a:headEnd/>
                      <a:tailEnd/>
                    </a:ln>
                  </pic:spPr>
                </pic:pic>
              </a:graphicData>
            </a:graphic>
          </wp:inline>
        </w:drawing>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在继往开来的历史性时刻，走进“党史教育大课堂”，重温百年奋斗的恢弘史诗，有利于教育引导我们更好地把握历史规律、坚定理想信念、汲取奋进力量。这不仅是鼓舞和教育青少年知史鉴今、观照未来的历史教育课，更是砥砺初心、牢记使命的党性教育课，也为我们开展好党史学习教育提供了更广阔的平台。</w:t>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8、党总支利用每月主题党日活动，严格按照党费缴纳标准，开展集中交纳党费。在党总支书记带领下积极参加2021年度市直机关基层党支部书记集中轮训活动。</w:t>
      </w:r>
    </w:p>
    <w:p>
      <w:pPr>
        <w:pStyle w:val="2"/>
        <w:ind w:left="0" w:leftChars="0" w:firstLine="0" w:firstLineChars="0"/>
        <w:jc w:val="center"/>
      </w:pPr>
      <w:r>
        <w:rPr>
          <w:rFonts w:ascii="楷体_GB2312" w:eastAsia="楷体_GB2312" w:cs="黑体"/>
          <w:w w:val="98"/>
          <w:sz w:val="30"/>
          <w:szCs w:val="30"/>
        </w:rPr>
        <w:drawing>
          <wp:inline distT="0" distB="0" distL="0" distR="0">
            <wp:extent cx="4959985" cy="1914525"/>
            <wp:effectExtent l="0" t="0" r="12065" b="9525"/>
            <wp:docPr id="99" name="图片 2" descr="D:\邢东照片\2021\微信图片_202111081535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descr="D:\邢东照片\2021\微信图片_2021110815353241.jpg"/>
                    <pic:cNvPicPr>
                      <a:picLocks noChangeAspect="1" noChangeArrowheads="1"/>
                    </pic:cNvPicPr>
                  </pic:nvPicPr>
                  <pic:blipFill>
                    <a:blip r:embed="rId110" cstate="print"/>
                    <a:srcRect/>
                    <a:stretch>
                      <a:fillRect/>
                    </a:stretch>
                  </pic:blipFill>
                  <pic:spPr>
                    <a:xfrm>
                      <a:off x="0" y="0"/>
                      <a:ext cx="4959985" cy="1917942"/>
                    </a:xfrm>
                    <a:prstGeom prst="rect">
                      <a:avLst/>
                    </a:prstGeom>
                    <a:noFill/>
                    <a:ln w="9525">
                      <a:noFill/>
                      <a:miter lim="800000"/>
                      <a:headEnd/>
                      <a:tailEnd/>
                    </a:ln>
                  </pic:spPr>
                </pic:pic>
              </a:graphicData>
            </a:graphic>
          </wp:inline>
        </w:drawing>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 xml:space="preserve">9、强化对工会、团委、妇委会等组织的领导，引导和支持围绕党的中心工作，开展适合自身特点的活动，在各项工作中充分发挥党支部的战斗堡垒作用和党员先锋模范作用。                                   </w:t>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第37个教师节来临之际，我校组织全校教职工参观大同市美术馆。《时代肖像——忻东旺艺术作品展》《“中国家风版”画作品展》等艺术展览不仅丰富了教师的课余文化生活，也为我校的美育工作输送营养，积蓄力量 。</w:t>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“请党放心，强国有我！”是当代青少年朝气蓬的铿锵誓言 ，更是教育工作者志在千秋的无私奉献。美育是审美教育，也是情操教育和心灵教育，能提升人的审美素养，与德育、智育、体育相辅相成，相互促进。</w:t>
      </w:r>
    </w:p>
    <w:p>
      <w:pPr>
        <w:spacing w:line="220" w:lineRule="atLeast"/>
        <w:jc w:val="left"/>
        <w:rPr>
          <w:rFonts w:ascii="楷体_GB2312" w:eastAsia="楷体_GB2312" w:cs="黑体"/>
          <w:w w:val="98"/>
          <w:sz w:val="30"/>
          <w:szCs w:val="30"/>
        </w:rPr>
      </w:pPr>
      <w:r>
        <w:rPr>
          <w:rFonts w:ascii="楷体_GB2312" w:eastAsia="楷体_GB2312" w:cs="黑体"/>
          <w:w w:val="98"/>
          <w:sz w:val="30"/>
          <w:szCs w:val="30"/>
        </w:rPr>
        <w:drawing>
          <wp:inline distT="0" distB="0" distL="0" distR="0">
            <wp:extent cx="2533015" cy="1764030"/>
            <wp:effectExtent l="0" t="0" r="635" b="7620"/>
            <wp:docPr id="101" name="图片 2" descr="微信图片_2021091009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 descr="微信图片_20210910090930.jpg"/>
                    <pic:cNvPicPr>
                      <a:picLocks noChangeAspect="1"/>
                    </pic:cNvPicPr>
                  </pic:nvPicPr>
                  <pic:blipFill>
                    <a:blip r:embed="rId111" cstate="print"/>
                    <a:stretch>
                      <a:fillRect/>
                    </a:stretch>
                  </pic:blipFill>
                  <pic:spPr>
                    <a:xfrm>
                      <a:off x="0" y="0"/>
                      <a:ext cx="2533015" cy="1768930"/>
                    </a:xfrm>
                    <a:prstGeom prst="rect">
                      <a:avLst/>
                    </a:prstGeom>
                  </pic:spPr>
                </pic:pic>
              </a:graphicData>
            </a:graphic>
          </wp:inline>
        </w:drawing>
      </w:r>
      <w:r>
        <w:rPr>
          <w:rFonts w:hint="eastAsia" w:ascii="楷体_GB2312" w:eastAsia="楷体_GB2312" w:cs="黑体"/>
          <w:w w:val="98"/>
          <w:sz w:val="30"/>
          <w:szCs w:val="30"/>
        </w:rPr>
        <w:t xml:space="preserve"> </w:t>
      </w:r>
      <w:r>
        <w:rPr>
          <w:rFonts w:hint="eastAsia" w:ascii="楷体_GB2312" w:eastAsia="楷体_GB2312" w:cs="黑体"/>
          <w:w w:val="98"/>
          <w:sz w:val="30"/>
          <w:szCs w:val="30"/>
        </w:rPr>
        <w:drawing>
          <wp:inline distT="0" distB="0" distL="0" distR="0">
            <wp:extent cx="2544445" cy="1790065"/>
            <wp:effectExtent l="0" t="0" r="8255" b="635"/>
            <wp:docPr id="102" name="图片 1" descr="IMG_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 descr="IMG_0572.JPG"/>
                    <pic:cNvPicPr>
                      <a:picLocks noChangeAspect="1"/>
                    </pic:cNvPicPr>
                  </pic:nvPicPr>
                  <pic:blipFill>
                    <a:blip r:embed="rId112" cstate="print"/>
                    <a:stretch>
                      <a:fillRect/>
                    </a:stretch>
                  </pic:blipFill>
                  <pic:spPr>
                    <a:xfrm>
                      <a:off x="0" y="0"/>
                      <a:ext cx="2544445" cy="1790065"/>
                    </a:xfrm>
                    <a:prstGeom prst="rect">
                      <a:avLst/>
                    </a:prstGeom>
                  </pic:spPr>
                </pic:pic>
              </a:graphicData>
            </a:graphic>
          </wp:inline>
        </w:drawing>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师者，传道授业解惑也。在“体教融合、学训并重”的背景下，作为体育教育工作者，我们通过发现美、欣赏美、传递美，将多元化的教育资源发挥到极致，潜移默化地影响学生情感、趣味和气质，激励精神，温润心灵。</w:t>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10、强化基层党建的宣传教育作用。每周规定党员必须进训练队伍、进课堂、每月要求党员不定期进社区和帮扶贫困村进行志愿服务活动，把“学党史，共建美好家园”、“学党史，暖民心，帮扶邻里”作为长期活动。</w:t>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11、认真落实“我为群众办实事”， 解决基层的困难事、群众的烦心事,增强人民群众的获得感幸福感安全感,激励广大党员干部改革创新攻坚克难,以昂扬姿态奋力夺取“十四五”转型开局新胜利,以优异成绩迎接建党一百周年。</w:t>
      </w:r>
    </w:p>
    <w:p>
      <w:pPr>
        <w:rPr>
          <w:rFonts w:ascii="仿宋" w:hAnsi="仿宋" w:eastAsia="仿宋" w:cs="仿宋"/>
          <w:sz w:val="28"/>
          <w:szCs w:val="28"/>
        </w:rPr>
      </w:pPr>
      <w:r>
        <w:rPr>
          <w:rFonts w:ascii="仿宋" w:hAnsi="仿宋" w:eastAsia="仿宋" w:cs="仿宋"/>
          <w:sz w:val="28"/>
          <w:szCs w:val="28"/>
        </w:rPr>
        <w:drawing>
          <wp:inline distT="0" distB="0" distL="0" distR="0">
            <wp:extent cx="2597150" cy="1584960"/>
            <wp:effectExtent l="0" t="0" r="12700" b="15240"/>
            <wp:docPr id="103" name="图片 19" descr="D:\邢东照片\2021\微信图片_20210428154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9" descr="D:\邢东照片\2021\微信图片_202104281541494.jpg"/>
                    <pic:cNvPicPr>
                      <a:picLocks noChangeAspect="1" noChangeArrowheads="1"/>
                    </pic:cNvPicPr>
                  </pic:nvPicPr>
                  <pic:blipFill>
                    <a:blip r:embed="rId113" cstate="print"/>
                    <a:srcRect/>
                    <a:stretch>
                      <a:fillRect/>
                    </a:stretch>
                  </pic:blipFill>
                  <pic:spPr>
                    <a:xfrm>
                      <a:off x="0" y="0"/>
                      <a:ext cx="2597150" cy="1584960"/>
                    </a:xfrm>
                    <a:prstGeom prst="rect">
                      <a:avLst/>
                    </a:prstGeom>
                    <a:noFill/>
                    <a:ln w="9525">
                      <a:noFill/>
                      <a:miter lim="800000"/>
                      <a:headEnd/>
                      <a:tailEnd/>
                    </a:ln>
                  </pic:spPr>
                </pic:pic>
              </a:graphicData>
            </a:graphic>
          </wp:inline>
        </w:drawing>
      </w:r>
      <w:r>
        <w:rPr>
          <w:rFonts w:hint="eastAsia" w:ascii="仿宋" w:hAnsi="仿宋" w:eastAsia="仿宋" w:cs="仿宋"/>
          <w:sz w:val="28"/>
          <w:szCs w:val="28"/>
          <w:lang w:val="en-US" w:eastAsia="zh-CN"/>
        </w:rPr>
        <w:t xml:space="preserve"> </w:t>
      </w:r>
      <w:r>
        <w:rPr>
          <w:rFonts w:ascii="仿宋" w:hAnsi="仿宋" w:eastAsia="仿宋" w:cs="仿宋"/>
          <w:sz w:val="28"/>
          <w:szCs w:val="28"/>
        </w:rPr>
        <w:drawing>
          <wp:inline distT="0" distB="0" distL="0" distR="0">
            <wp:extent cx="2527935" cy="1597025"/>
            <wp:effectExtent l="0" t="0" r="5715" b="3175"/>
            <wp:docPr id="104" name="图片 20" descr="D:\邢东照片\2021\微信图片_20210428154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0" descr="D:\邢东照片\2021\微信图片_202104281541497.jpg"/>
                    <pic:cNvPicPr>
                      <a:picLocks noChangeAspect="1" noChangeArrowheads="1"/>
                    </pic:cNvPicPr>
                  </pic:nvPicPr>
                  <pic:blipFill>
                    <a:blip r:embed="rId114" cstate="print"/>
                    <a:srcRect/>
                    <a:stretch>
                      <a:fillRect/>
                    </a:stretch>
                  </pic:blipFill>
                  <pic:spPr>
                    <a:xfrm>
                      <a:off x="0" y="0"/>
                      <a:ext cx="2527935" cy="1597025"/>
                    </a:xfrm>
                    <a:prstGeom prst="rect">
                      <a:avLst/>
                    </a:prstGeom>
                    <a:noFill/>
                    <a:ln w="9525">
                      <a:noFill/>
                      <a:miter lim="800000"/>
                      <a:headEnd/>
                      <a:tailEnd/>
                    </a:ln>
                  </pic:spPr>
                </pic:pic>
              </a:graphicData>
            </a:graphic>
          </wp:inline>
        </w:drawing>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三、组织生活情况</w:t>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1、认真开展党史学习教育活动。各党支部充分利用学习强国、三晋先锋、大同智慧党建、干部在线培训开展网络学习，发挥“网络”等载体的积极作用，采用领学领读、支部书记讲专题党课、十九届四中、五中、六中全会精神宣讲、知识竞赛等形式，在党员中形成了比学赶超的良好氛围，通过开展系列党性教育，凝聚力显著提高，战斗堡垒作用发挥明显。</w:t>
      </w:r>
    </w:p>
    <w:p>
      <w:pPr>
        <w:spacing w:line="360" w:lineRule="auto"/>
        <w:rPr>
          <w:rFonts w:ascii="楷体_GB2312" w:eastAsia="楷体_GB2312" w:cs="黑体"/>
          <w:w w:val="98"/>
          <w:sz w:val="30"/>
          <w:szCs w:val="30"/>
        </w:rPr>
      </w:pPr>
      <w:r>
        <w:rPr>
          <w:rFonts w:hint="eastAsia" w:ascii="楷体_GB2312" w:eastAsia="楷体_GB2312" w:cs="黑体"/>
          <w:w w:val="98"/>
          <w:sz w:val="30"/>
          <w:szCs w:val="30"/>
        </w:rPr>
        <w:drawing>
          <wp:inline distT="0" distB="0" distL="114300" distR="114300">
            <wp:extent cx="2596515" cy="1593850"/>
            <wp:effectExtent l="0" t="0" r="13335" b="6350"/>
            <wp:docPr id="48" name="图片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
                    <pic:cNvPicPr>
                      <a:picLocks noChangeAspect="1"/>
                    </pic:cNvPicPr>
                  </pic:nvPicPr>
                  <pic:blipFill>
                    <a:blip r:embed="rId115"/>
                    <a:stretch>
                      <a:fillRect/>
                    </a:stretch>
                  </pic:blipFill>
                  <pic:spPr>
                    <a:xfrm>
                      <a:off x="0" y="0"/>
                      <a:ext cx="2596515" cy="1593850"/>
                    </a:xfrm>
                    <a:prstGeom prst="rect">
                      <a:avLst/>
                    </a:prstGeom>
                  </pic:spPr>
                </pic:pic>
              </a:graphicData>
            </a:graphic>
          </wp:inline>
        </w:drawing>
      </w:r>
      <w:r>
        <w:rPr>
          <w:rFonts w:hint="eastAsia" w:ascii="楷体_GB2312" w:eastAsia="楷体_GB2312" w:cs="黑体"/>
          <w:w w:val="98"/>
          <w:sz w:val="30"/>
          <w:szCs w:val="30"/>
        </w:rPr>
        <w:t xml:space="preserve"> </w:t>
      </w:r>
      <w:r>
        <w:rPr>
          <w:rFonts w:ascii="楷体_GB2312" w:eastAsia="楷体_GB2312" w:cs="黑体"/>
          <w:w w:val="98"/>
          <w:sz w:val="30"/>
          <w:szCs w:val="30"/>
        </w:rPr>
        <w:drawing>
          <wp:inline distT="0" distB="0" distL="0" distR="0">
            <wp:extent cx="2466975" cy="1597025"/>
            <wp:effectExtent l="0" t="0" r="9525" b="3175"/>
            <wp:docPr id="107" name="图片 23" descr="D:\邢东照片\2021\微信图片_202103231239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3" descr="D:\邢东照片\2021\微信图片_202103231239355.jpg"/>
                    <pic:cNvPicPr>
                      <a:picLocks noChangeAspect="1" noChangeArrowheads="1"/>
                    </pic:cNvPicPr>
                  </pic:nvPicPr>
                  <pic:blipFill>
                    <a:blip r:embed="rId116" cstate="print"/>
                    <a:srcRect/>
                    <a:stretch>
                      <a:fillRect/>
                    </a:stretch>
                  </pic:blipFill>
                  <pic:spPr>
                    <a:xfrm>
                      <a:off x="0" y="0"/>
                      <a:ext cx="2466975" cy="1597025"/>
                    </a:xfrm>
                    <a:prstGeom prst="rect">
                      <a:avLst/>
                    </a:prstGeom>
                    <a:noFill/>
                    <a:ln w="9525">
                      <a:noFill/>
                      <a:miter lim="800000"/>
                      <a:headEnd/>
                      <a:tailEnd/>
                    </a:ln>
                  </pic:spPr>
                </pic:pic>
              </a:graphicData>
            </a:graphic>
          </wp:inline>
        </w:drawing>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2、创新主题党日。主题党日活动中，党员们结合各自工作岗位实际，在争当优秀教师、先进工作者、优秀班主任、优秀教练员，担当作为领导干部等方面承诺践诺，切实发挥党员的先锋模范作用。利用到社区街道清扫垃圾、帮助孤寡老人、帮助问题学生做心理辅导等各种方式为身边群众办实事办好事。</w:t>
      </w:r>
    </w:p>
    <w:p>
      <w:pPr>
        <w:pStyle w:val="2"/>
        <w:rPr>
          <w:rFonts w:hint="eastAsia"/>
        </w:rPr>
      </w:pPr>
    </w:p>
    <w:p>
      <w:pPr>
        <w:jc w:val="center"/>
      </w:pPr>
      <w:r>
        <w:drawing>
          <wp:inline distT="0" distB="0" distL="0" distR="0">
            <wp:extent cx="5037455" cy="1828800"/>
            <wp:effectExtent l="0" t="0" r="10795" b="0"/>
            <wp:docPr id="108" name="图片 3" descr="D:\邢东照片\2021\微信图片_20211108153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 descr="D:\邢东照片\2021\微信图片_202111081535335.jpg"/>
                    <pic:cNvPicPr>
                      <a:picLocks noChangeAspect="1" noChangeArrowheads="1"/>
                    </pic:cNvPicPr>
                  </pic:nvPicPr>
                  <pic:blipFill>
                    <a:blip r:embed="rId117" cstate="print"/>
                    <a:srcRect/>
                    <a:stretch>
                      <a:fillRect/>
                    </a:stretch>
                  </pic:blipFill>
                  <pic:spPr>
                    <a:xfrm>
                      <a:off x="0" y="0"/>
                      <a:ext cx="5037455" cy="1830122"/>
                    </a:xfrm>
                    <a:prstGeom prst="rect">
                      <a:avLst/>
                    </a:prstGeom>
                    <a:noFill/>
                    <a:ln w="9525">
                      <a:noFill/>
                      <a:miter lim="800000"/>
                      <a:headEnd/>
                      <a:tailEnd/>
                    </a:ln>
                  </pic:spPr>
                </pic:pic>
              </a:graphicData>
            </a:graphic>
          </wp:inline>
        </w:drawing>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11月，我校党员深入操场城东街社区，与社区工作人员沟通了解，为社区群众办实事，也将创建文明城市落实到自己的行动当中。</w:t>
      </w:r>
    </w:p>
    <w:p>
      <w:pPr>
        <w:spacing w:line="360" w:lineRule="auto"/>
        <w:jc w:val="center"/>
        <w:rPr>
          <w:rFonts w:ascii="楷体_GB2312" w:eastAsia="楷体_GB2312" w:cs="黑体"/>
          <w:w w:val="98"/>
          <w:sz w:val="30"/>
          <w:szCs w:val="30"/>
        </w:rPr>
      </w:pPr>
      <w:r>
        <w:rPr>
          <w:rFonts w:ascii="楷体_GB2312" w:eastAsia="楷体_GB2312" w:cs="黑体"/>
          <w:w w:val="98"/>
          <w:sz w:val="30"/>
          <w:szCs w:val="30"/>
        </w:rPr>
        <w:drawing>
          <wp:inline distT="0" distB="0" distL="0" distR="0">
            <wp:extent cx="4926330" cy="1948180"/>
            <wp:effectExtent l="0" t="0" r="7620" b="13970"/>
            <wp:docPr id="109" name="图片 18" descr="C:\Users\ADMINI~1\AppData\Local\Temp\WeChat Files\38c914137f81a69f28759b6af2500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8" descr="C:\Users\ADMINI~1\AppData\Local\Temp\WeChat Files\38c914137f81a69f28759b6af25008f.jpg"/>
                    <pic:cNvPicPr>
                      <a:picLocks noChangeAspect="1" noChangeArrowheads="1"/>
                    </pic:cNvPicPr>
                  </pic:nvPicPr>
                  <pic:blipFill>
                    <a:blip r:embed="rId118" cstate="print"/>
                    <a:srcRect t="4337"/>
                    <a:stretch>
                      <a:fillRect/>
                    </a:stretch>
                  </pic:blipFill>
                  <pic:spPr>
                    <a:xfrm>
                      <a:off x="0" y="0"/>
                      <a:ext cx="4926330" cy="1948180"/>
                    </a:xfrm>
                    <a:prstGeom prst="rect">
                      <a:avLst/>
                    </a:prstGeom>
                    <a:noFill/>
                    <a:ln w="9525">
                      <a:noFill/>
                      <a:miter lim="800000"/>
                      <a:headEnd/>
                      <a:tailEnd/>
                    </a:ln>
                  </pic:spPr>
                </pic:pic>
              </a:graphicData>
            </a:graphic>
          </wp:inline>
        </w:drawing>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党员们纷纷表示，非常高兴能够走入社区，为群众办事实、办好事，给居民营造一个良好的卫生环境，为全面提高社区卫生环境水平贡献自己的力量，为创建全国文明城市添砖加瓦。</w:t>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3、评议党员创新。在组织生活上，邀请群众代表参加对党员的民主评议，让评议结果更贴近基层。</w:t>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四、宣传教育情况</w:t>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1、与平城区操场城东街社区 “结对”搞好结对共建。党员同志们在路边和公交站牌为来往群众介绍、发放疫情防护相关资料。</w:t>
      </w:r>
    </w:p>
    <w:p>
      <w:pPr>
        <w:pStyle w:val="13"/>
        <w:shd w:val="clear" w:color="auto" w:fill="FFFFFF"/>
        <w:spacing w:before="0" w:beforeAutospacing="0" w:after="0" w:afterAutospacing="0"/>
        <w:jc w:val="center"/>
        <w:rPr>
          <w:rFonts w:ascii="楷体_GB2312" w:hAnsi="Calibri" w:eastAsia="楷体_GB2312" w:cs="黑体"/>
          <w:w w:val="98"/>
          <w:sz w:val="30"/>
          <w:szCs w:val="30"/>
        </w:rPr>
      </w:pPr>
      <w:r>
        <w:rPr>
          <w:rFonts w:ascii="楷体_GB2312" w:hAnsi="Calibri" w:eastAsia="楷体_GB2312" w:cs="黑体"/>
          <w:w w:val="98"/>
          <w:sz w:val="30"/>
          <w:szCs w:val="30"/>
        </w:rPr>
        <w:drawing>
          <wp:inline distT="0" distB="0" distL="0" distR="0">
            <wp:extent cx="4922520" cy="1833245"/>
            <wp:effectExtent l="0" t="0" r="11430" b="14605"/>
            <wp:docPr id="110" name="图片 12" descr="C:\Users\ADMINI~1\AppData\Local\Temp\WeChat Files\f297f4ba372ed430f8a4c7b2c50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2" descr="C:\Users\ADMINI~1\AppData\Local\Temp\WeChat Files\f297f4ba372ed430f8a4c7b2c500352.jpg"/>
                    <pic:cNvPicPr>
                      <a:picLocks noChangeAspect="1" noChangeArrowheads="1"/>
                    </pic:cNvPicPr>
                  </pic:nvPicPr>
                  <pic:blipFill>
                    <a:blip r:embed="rId119" cstate="print"/>
                    <a:srcRect/>
                    <a:stretch>
                      <a:fillRect/>
                    </a:stretch>
                  </pic:blipFill>
                  <pic:spPr>
                    <a:xfrm>
                      <a:off x="0" y="0"/>
                      <a:ext cx="4922520" cy="1833245"/>
                    </a:xfrm>
                    <a:prstGeom prst="rect">
                      <a:avLst/>
                    </a:prstGeom>
                    <a:noFill/>
                    <a:ln w="9525">
                      <a:noFill/>
                      <a:miter lim="800000"/>
                      <a:headEnd/>
                      <a:tailEnd/>
                    </a:ln>
                  </pic:spPr>
                </pic:pic>
              </a:graphicData>
            </a:graphic>
          </wp:inline>
        </w:drawing>
      </w:r>
    </w:p>
    <w:p>
      <w:pPr>
        <w:ind w:firstLine="560" w:firstLineChars="200"/>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2、助力创建文明城市，是我们的使命和责任，党员们将宣传标语挂在道路两旁。</w:t>
      </w:r>
    </w:p>
    <w:p>
      <w:pPr>
        <w:pStyle w:val="13"/>
        <w:shd w:val="clear" w:color="auto" w:fill="FFFFFF"/>
        <w:spacing w:before="0" w:beforeAutospacing="0" w:after="0" w:afterAutospacing="0"/>
        <w:jc w:val="center"/>
        <w:rPr>
          <w:rFonts w:ascii="楷体_GB2312" w:hAnsi="Calibri" w:eastAsia="楷体_GB2312" w:cs="黑体"/>
          <w:w w:val="98"/>
          <w:sz w:val="30"/>
          <w:szCs w:val="30"/>
        </w:rPr>
      </w:pPr>
      <w:r>
        <w:rPr>
          <w:rFonts w:ascii="楷体_GB2312" w:hAnsi="Calibri" w:eastAsia="楷体_GB2312" w:cs="黑体"/>
          <w:w w:val="98"/>
          <w:sz w:val="30"/>
          <w:szCs w:val="30"/>
        </w:rPr>
        <w:drawing>
          <wp:inline distT="0" distB="0" distL="0" distR="0">
            <wp:extent cx="4987290" cy="1734820"/>
            <wp:effectExtent l="0" t="0" r="3810" b="17780"/>
            <wp:docPr id="111" name="图片 17" descr="C:\Users\ADMINI~1\AppData\Local\Temp\WeChat Files\fecbbe6a688cf38cb2c1992d1960d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7" descr="C:\Users\ADMINI~1\AppData\Local\Temp\WeChat Files\fecbbe6a688cf38cb2c1992d1960dca.jpg"/>
                    <pic:cNvPicPr>
                      <a:picLocks noChangeAspect="1" noChangeArrowheads="1"/>
                    </pic:cNvPicPr>
                  </pic:nvPicPr>
                  <pic:blipFill>
                    <a:blip r:embed="rId120" cstate="print"/>
                    <a:srcRect/>
                    <a:stretch>
                      <a:fillRect/>
                    </a:stretch>
                  </pic:blipFill>
                  <pic:spPr>
                    <a:xfrm>
                      <a:off x="0" y="0"/>
                      <a:ext cx="4987290" cy="1734820"/>
                    </a:xfrm>
                    <a:prstGeom prst="rect">
                      <a:avLst/>
                    </a:prstGeom>
                    <a:noFill/>
                    <a:ln w="9525">
                      <a:noFill/>
                      <a:miter lim="800000"/>
                      <a:headEnd/>
                      <a:tailEnd/>
                    </a:ln>
                  </pic:spPr>
                </pic:pic>
              </a:graphicData>
            </a:graphic>
          </wp:inline>
        </w:drawing>
      </w:r>
    </w:p>
    <w:p>
      <w:pPr>
        <w:pStyle w:val="13"/>
        <w:shd w:val="clear" w:color="auto" w:fill="FFFFFF"/>
        <w:spacing w:before="0" w:beforeAutospacing="0" w:after="0" w:afterAutospacing="0"/>
        <w:ind w:firstLine="560" w:firstLineChars="200"/>
        <w:rPr>
          <w:rFonts w:ascii="楷体_GB2312" w:hAnsi="Calibri" w:eastAsia="楷体_GB2312" w:cs="黑体"/>
          <w:w w:val="98"/>
          <w:sz w:val="30"/>
          <w:szCs w:val="30"/>
        </w:rPr>
      </w:pPr>
      <w:r>
        <w:rPr>
          <w:rFonts w:hint="eastAsia" w:ascii="仿宋_GB2312" w:hAnsi="Times New Roman" w:eastAsia="仿宋_GB2312" w:cs="Times New Roman"/>
          <w:b w:val="0"/>
          <w:bCs w:val="0"/>
          <w:kern w:val="2"/>
          <w:sz w:val="28"/>
          <w:szCs w:val="28"/>
          <w:lang w:val="en-US" w:eastAsia="zh-CN" w:bidi="ar-SA"/>
        </w:rPr>
        <w:t>3、在结对社区的老旧小区，我们认真清理随处可见的小广告，将墙面粉刷一新。</w:t>
      </w:r>
      <w:r>
        <w:rPr>
          <w:rFonts w:hint="eastAsia" w:ascii="楷体_GB2312" w:hAnsi="Calibri" w:eastAsia="楷体_GB2312" w:cs="黑体"/>
          <w:w w:val="98"/>
          <w:sz w:val="30"/>
          <w:szCs w:val="30"/>
        </w:rPr>
        <w:t xml:space="preserve"> </w:t>
      </w:r>
    </w:p>
    <w:p>
      <w:pPr>
        <w:pStyle w:val="13"/>
        <w:shd w:val="clear" w:color="auto" w:fill="FFFFFF"/>
        <w:spacing w:before="0" w:beforeAutospacing="0" w:after="0" w:afterAutospacing="0"/>
        <w:rPr>
          <w:rFonts w:ascii="楷体_GB2312" w:hAnsi="Calibri" w:eastAsia="楷体_GB2312" w:cs="黑体"/>
          <w:w w:val="98"/>
          <w:sz w:val="30"/>
          <w:szCs w:val="30"/>
        </w:rPr>
      </w:pPr>
      <w:r>
        <w:rPr>
          <w:rFonts w:ascii="楷体_GB2312" w:hAnsi="Calibri" w:eastAsia="楷体_GB2312" w:cs="黑体"/>
          <w:w w:val="98"/>
          <w:sz w:val="30"/>
          <w:szCs w:val="30"/>
        </w:rPr>
        <w:drawing>
          <wp:inline distT="0" distB="0" distL="0" distR="0">
            <wp:extent cx="2433955" cy="1606550"/>
            <wp:effectExtent l="0" t="0" r="4445" b="12700"/>
            <wp:docPr id="112" name="图片 9" descr="C:\Users\ADMINI~1\AppData\Local\Temp\WeChat Files\e3d0fbc7275739830bd9eb0228ef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 descr="C:\Users\ADMINI~1\AppData\Local\Temp\WeChat Files\e3d0fbc7275739830bd9eb0228ef42b.jpg"/>
                    <pic:cNvPicPr>
                      <a:picLocks noChangeAspect="1" noChangeArrowheads="1"/>
                    </pic:cNvPicPr>
                  </pic:nvPicPr>
                  <pic:blipFill>
                    <a:blip r:embed="rId121" cstate="print"/>
                    <a:srcRect/>
                    <a:stretch>
                      <a:fillRect/>
                    </a:stretch>
                  </pic:blipFill>
                  <pic:spPr>
                    <a:xfrm>
                      <a:off x="0" y="0"/>
                      <a:ext cx="2433955" cy="1606550"/>
                    </a:xfrm>
                    <a:prstGeom prst="rect">
                      <a:avLst/>
                    </a:prstGeom>
                    <a:noFill/>
                    <a:ln w="9525">
                      <a:noFill/>
                      <a:miter lim="800000"/>
                      <a:headEnd/>
                      <a:tailEnd/>
                    </a:ln>
                  </pic:spPr>
                </pic:pic>
              </a:graphicData>
            </a:graphic>
          </wp:inline>
        </w:drawing>
      </w:r>
      <w:r>
        <w:rPr>
          <w:rFonts w:hint="eastAsia" w:ascii="楷体_GB2312" w:hAnsi="Calibri" w:eastAsia="楷体_GB2312" w:cs="黑体"/>
          <w:w w:val="98"/>
          <w:sz w:val="30"/>
          <w:szCs w:val="30"/>
          <w:lang w:val="en-US" w:eastAsia="zh-CN"/>
        </w:rPr>
        <w:t xml:space="preserve"> </w:t>
      </w:r>
      <w:r>
        <w:rPr>
          <w:rFonts w:ascii="楷体_GB2312" w:hAnsi="Calibri" w:eastAsia="楷体_GB2312" w:cs="黑体"/>
          <w:w w:val="98"/>
          <w:sz w:val="30"/>
          <w:szCs w:val="30"/>
        </w:rPr>
        <w:drawing>
          <wp:inline distT="0" distB="0" distL="0" distR="0">
            <wp:extent cx="2346325" cy="1602105"/>
            <wp:effectExtent l="0" t="0" r="15875" b="17145"/>
            <wp:docPr id="113" name="图片 11" descr="C:\Users\ADMINI~1\AppData\Local\Temp\WeChat Files\1924261a37cc8b5a8cf896c9a4ea5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 descr="C:\Users\ADMINI~1\AppData\Local\Temp\WeChat Files\1924261a37cc8b5a8cf896c9a4ea5c6.jpg"/>
                    <pic:cNvPicPr>
                      <a:picLocks noChangeAspect="1" noChangeArrowheads="1"/>
                    </pic:cNvPicPr>
                  </pic:nvPicPr>
                  <pic:blipFill>
                    <a:blip r:embed="rId122" cstate="print"/>
                    <a:srcRect/>
                    <a:stretch>
                      <a:fillRect/>
                    </a:stretch>
                  </pic:blipFill>
                  <pic:spPr>
                    <a:xfrm>
                      <a:off x="0" y="0"/>
                      <a:ext cx="2346325" cy="1602105"/>
                    </a:xfrm>
                    <a:prstGeom prst="rect">
                      <a:avLst/>
                    </a:prstGeom>
                    <a:noFill/>
                    <a:ln w="9525">
                      <a:noFill/>
                      <a:miter lim="800000"/>
                      <a:headEnd/>
                      <a:tailEnd/>
                    </a:ln>
                  </pic:spPr>
                </pic:pic>
              </a:graphicData>
            </a:graphic>
          </wp:inline>
        </w:drawing>
      </w:r>
      <w:r>
        <w:rPr>
          <w:rFonts w:ascii="楷体_GB2312" w:hAnsi="Calibri" w:eastAsia="楷体_GB2312" w:cs="黑体"/>
          <w:w w:val="98"/>
          <w:sz w:val="30"/>
          <w:szCs w:val="30"/>
        </w:rPr>
        <w:drawing>
          <wp:inline distT="0" distB="0" distL="0" distR="0">
            <wp:extent cx="333375" cy="333375"/>
            <wp:effectExtent l="0" t="0" r="9525" b="9525"/>
            <wp:docPr id="114" name="图片 1" descr="http://share.dtradio.com.cn/themes/default/images/play_b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descr="http://share.dtradio.com.cn/themes/default/images/play_btn.png"/>
                    <pic:cNvPicPr>
                      <a:picLocks noChangeAspect="1" noChangeArrowheads="1"/>
                    </pic:cNvPicPr>
                  </pic:nvPicPr>
                  <pic:blipFill>
                    <a:blip r:embed="rId123" cstate="print"/>
                    <a:srcRect/>
                    <a:stretch>
                      <a:fillRect/>
                    </a:stretch>
                  </pic:blipFill>
                  <pic:spPr>
                    <a:xfrm>
                      <a:off x="0" y="0"/>
                      <a:ext cx="333375" cy="333375"/>
                    </a:xfrm>
                    <a:prstGeom prst="rect">
                      <a:avLst/>
                    </a:prstGeom>
                    <a:noFill/>
                    <a:ln w="9525">
                      <a:noFill/>
                      <a:miter lim="800000"/>
                      <a:headEnd/>
                      <a:tailEnd/>
                    </a:ln>
                  </pic:spPr>
                </pic:pic>
              </a:graphicData>
            </a:graphic>
          </wp:inline>
        </w:drawing>
      </w:r>
    </w:p>
    <w:p>
      <w:pPr>
        <w:numPr>
          <w:ilvl w:val="0"/>
          <w:numId w:val="0"/>
        </w:numPr>
        <w:ind w:firstLine="560" w:firstLineChars="200"/>
        <w:outlineLvl w:val="9"/>
        <w:rPr>
          <w:rFonts w:hint="eastAsia" w:ascii="仿宋_GB2312" w:hAnsi="Times New Roman" w:eastAsia="仿宋_GB2312" w:cs="Times New Roman"/>
          <w:b w:val="0"/>
          <w:bCs w:val="0"/>
          <w:kern w:val="2"/>
          <w:sz w:val="28"/>
          <w:szCs w:val="28"/>
          <w:lang w:val="en-US" w:eastAsia="zh-CN" w:bidi="ar-SA"/>
        </w:rPr>
      </w:pPr>
      <w:bookmarkStart w:id="120" w:name="_Toc2126"/>
      <w:r>
        <w:rPr>
          <w:rFonts w:hint="eastAsia" w:ascii="仿宋_GB2312" w:hAnsi="Times New Roman" w:eastAsia="仿宋_GB2312" w:cs="Times New Roman"/>
          <w:b w:val="0"/>
          <w:bCs w:val="0"/>
          <w:kern w:val="2"/>
          <w:sz w:val="28"/>
          <w:szCs w:val="28"/>
          <w:lang w:val="en-US" w:eastAsia="zh-CN" w:bidi="ar-SA"/>
        </w:rPr>
        <w:t>4、在帮扶工作中做好宣传。继续加强帮扶结对灵丘县柳棵乡伊家店村乡村振兴工作，深入开展扶贫政策宣传工作，定期走访、节假日慰问帮扶贫困户，经常联系，逐户核实信息，建立“一户一档”，落实帮扶措施，切实帮助村民解决生产和生活上的困难。</w:t>
      </w:r>
      <w:bookmarkEnd w:id="120"/>
    </w:p>
    <w:p>
      <w:pPr>
        <w:pStyle w:val="5"/>
        <w:keepNext/>
        <w:keepLines/>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zh-CN" w:bidi="ar-SA"/>
        </w:rPr>
      </w:pPr>
      <w:bookmarkStart w:id="121" w:name="_Toc5148"/>
      <w:bookmarkStart w:id="122" w:name="_Toc11594"/>
      <w:r>
        <w:rPr>
          <w:rFonts w:hint="eastAsia" w:ascii="仿宋_GB2312" w:hAnsi="Times New Roman" w:eastAsia="仿宋_GB2312" w:cs="Times New Roman"/>
          <w:b/>
          <w:bCs/>
          <w:kern w:val="2"/>
          <w:sz w:val="28"/>
          <w:szCs w:val="28"/>
          <w:lang w:val="en-US" w:eastAsia="zh-CN" w:bidi="ar-SA"/>
        </w:rPr>
        <w:t>4.4 经费保障</w:t>
      </w:r>
      <w:bookmarkEnd w:id="121"/>
      <w:bookmarkEnd w:id="122"/>
    </w:p>
    <w:p>
      <w:pPr>
        <w:ind w:firstLine="560" w:firstLineChars="200"/>
        <w:outlineLvl w:val="9"/>
        <w:rPr>
          <w:rFonts w:hint="eastAsia" w:ascii="仿宋_GB2312" w:hAnsi="Times New Roman" w:eastAsia="仿宋_GB2312" w:cs="Times New Roman"/>
          <w:b w:val="0"/>
          <w:bCs w:val="0"/>
          <w:kern w:val="2"/>
          <w:sz w:val="28"/>
          <w:szCs w:val="28"/>
          <w:lang w:val="en-US" w:eastAsia="uk-UA" w:bidi="ar-SA"/>
        </w:rPr>
      </w:pPr>
      <w:r>
        <w:rPr>
          <w:rFonts w:hint="eastAsia" w:ascii="仿宋_GB2312" w:hAnsi="Times New Roman" w:eastAsia="仿宋_GB2312" w:cs="Times New Roman"/>
          <w:b w:val="0"/>
          <w:bCs w:val="0"/>
          <w:kern w:val="2"/>
          <w:sz w:val="28"/>
          <w:szCs w:val="28"/>
          <w:lang w:val="en-US" w:eastAsia="zh-CN" w:bidi="ar-SA"/>
        </w:rPr>
        <w:t>我校属全额拨款事业单位，</w:t>
      </w:r>
      <w:r>
        <w:rPr>
          <w:rFonts w:hint="eastAsia" w:ascii="仿宋_GB2312" w:hAnsi="Times New Roman" w:eastAsia="仿宋_GB2312" w:cs="Times New Roman"/>
          <w:b w:val="0"/>
          <w:bCs w:val="0"/>
          <w:kern w:val="2"/>
          <w:sz w:val="28"/>
          <w:szCs w:val="28"/>
          <w:lang w:val="en-US" w:eastAsia="uk-UA" w:bidi="ar-SA"/>
        </w:rPr>
        <w:t>20</w:t>
      </w:r>
      <w:r>
        <w:rPr>
          <w:rFonts w:hint="eastAsia" w:ascii="仿宋_GB2312" w:hAnsi="Times New Roman" w:eastAsia="仿宋_GB2312" w:cs="Times New Roman"/>
          <w:b w:val="0"/>
          <w:bCs w:val="0"/>
          <w:kern w:val="2"/>
          <w:sz w:val="28"/>
          <w:szCs w:val="28"/>
          <w:lang w:val="en-US" w:eastAsia="zh-CN" w:bidi="ar-SA"/>
        </w:rPr>
        <w:t>21</w:t>
      </w:r>
      <w:r>
        <w:rPr>
          <w:rFonts w:hint="eastAsia" w:ascii="仿宋_GB2312" w:hAnsi="Times New Roman" w:eastAsia="仿宋_GB2312" w:cs="Times New Roman"/>
          <w:b w:val="0"/>
          <w:bCs w:val="0"/>
          <w:kern w:val="2"/>
          <w:sz w:val="28"/>
          <w:szCs w:val="28"/>
          <w:lang w:val="en-US" w:eastAsia="uk-UA" w:bidi="ar-SA"/>
        </w:rPr>
        <w:t>年财政拨款收入</w:t>
      </w:r>
      <w:r>
        <w:rPr>
          <w:rFonts w:hint="eastAsia" w:ascii="仿宋_GB2312" w:hAnsi="Times New Roman" w:eastAsia="仿宋_GB2312" w:cs="Times New Roman"/>
          <w:b w:val="0"/>
          <w:bCs w:val="0"/>
          <w:kern w:val="2"/>
          <w:sz w:val="28"/>
          <w:szCs w:val="28"/>
          <w:lang w:val="en-US" w:eastAsia="zh-CN" w:bidi="ar-SA"/>
        </w:rPr>
        <w:t>2340</w:t>
      </w:r>
      <w:r>
        <w:rPr>
          <w:rFonts w:hint="eastAsia" w:ascii="仿宋_GB2312" w:hAnsi="Times New Roman" w:eastAsia="仿宋_GB2312" w:cs="Times New Roman"/>
          <w:b w:val="0"/>
          <w:bCs w:val="0"/>
          <w:kern w:val="2"/>
          <w:sz w:val="28"/>
          <w:szCs w:val="28"/>
          <w:lang w:val="en-US" w:eastAsia="uk-UA" w:bidi="ar-SA"/>
        </w:rPr>
        <w:t>万元，事业收入</w:t>
      </w:r>
      <w:r>
        <w:rPr>
          <w:rFonts w:hint="eastAsia" w:ascii="仿宋_GB2312" w:hAnsi="Times New Roman" w:eastAsia="仿宋_GB2312" w:cs="Times New Roman"/>
          <w:b w:val="0"/>
          <w:bCs w:val="0"/>
          <w:kern w:val="2"/>
          <w:sz w:val="28"/>
          <w:szCs w:val="28"/>
          <w:lang w:val="en-US" w:eastAsia="zh-CN" w:bidi="ar-SA"/>
        </w:rPr>
        <w:t>22</w:t>
      </w:r>
      <w:r>
        <w:rPr>
          <w:rFonts w:hint="eastAsia" w:ascii="仿宋_GB2312" w:hAnsi="Times New Roman" w:eastAsia="仿宋_GB2312" w:cs="Times New Roman"/>
          <w:b w:val="0"/>
          <w:bCs w:val="0"/>
          <w:kern w:val="2"/>
          <w:sz w:val="28"/>
          <w:szCs w:val="28"/>
          <w:lang w:val="en-US" w:eastAsia="uk-UA" w:bidi="ar-SA"/>
        </w:rPr>
        <w:t>万元。</w:t>
      </w:r>
    </w:p>
    <w:p>
      <w:pPr>
        <w:ind w:firstLine="560" w:firstLineChars="200"/>
        <w:outlineLvl w:val="9"/>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1、学校实行“统一领导，集中管理”的财务管理体制，所有经济活动财务统一核算。</w:t>
      </w:r>
      <w:r>
        <w:rPr>
          <w:rFonts w:hint="eastAsia" w:ascii="仿宋_GB2312" w:hAnsi="Times New Roman" w:eastAsia="仿宋_GB2312" w:cs="Times New Roman"/>
          <w:b w:val="0"/>
          <w:bCs w:val="0"/>
          <w:kern w:val="2"/>
          <w:sz w:val="28"/>
          <w:szCs w:val="28"/>
          <w:lang w:val="en-US" w:eastAsia="uk-UA" w:bidi="ar-SA"/>
        </w:rPr>
        <w:t>财务从业人员均为取得会计证书专业人员，</w:t>
      </w:r>
      <w:r>
        <w:rPr>
          <w:rFonts w:hint="eastAsia" w:ascii="仿宋_GB2312" w:hAnsi="Times New Roman" w:eastAsia="仿宋_GB2312" w:cs="Times New Roman"/>
          <w:b w:val="0"/>
          <w:bCs w:val="0"/>
          <w:kern w:val="2"/>
          <w:sz w:val="28"/>
          <w:szCs w:val="28"/>
          <w:lang w:val="en-US" w:eastAsia="zh-CN" w:bidi="ar-SA"/>
        </w:rPr>
        <w:t>无无</w:t>
      </w:r>
      <w:r>
        <w:rPr>
          <w:rFonts w:hint="eastAsia" w:ascii="仿宋_GB2312" w:hAnsi="Times New Roman" w:eastAsia="仿宋_GB2312" w:cs="Times New Roman"/>
          <w:b w:val="0"/>
          <w:bCs w:val="0"/>
          <w:kern w:val="2"/>
          <w:sz w:val="28"/>
          <w:szCs w:val="28"/>
          <w:lang w:val="en-US" w:eastAsia="uk-UA" w:bidi="ar-SA"/>
        </w:rPr>
        <w:t>证上岗现象。</w:t>
      </w:r>
      <w:r>
        <w:rPr>
          <w:rFonts w:hint="eastAsia" w:ascii="仿宋_GB2312" w:hAnsi="Times New Roman" w:eastAsia="仿宋_GB2312" w:cs="Times New Roman"/>
          <w:b w:val="0"/>
          <w:bCs w:val="0"/>
          <w:kern w:val="2"/>
          <w:sz w:val="28"/>
          <w:szCs w:val="28"/>
          <w:lang w:val="en-US" w:eastAsia="zh-CN" w:bidi="ar-SA"/>
        </w:rPr>
        <w:t>岗位设置合理，职责分工明确，并相互制约。学校严格执行有关财经法规、法纪。财务审批层层把关，收支合理，同时确保资金使用的有效、合法。</w:t>
      </w:r>
    </w:p>
    <w:p>
      <w:pPr>
        <w:ind w:firstLine="560" w:firstLineChars="200"/>
        <w:outlineLvl w:val="9"/>
        <w:rPr>
          <w:rFonts w:hint="default"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2</w:t>
      </w:r>
      <w:r>
        <w:rPr>
          <w:rFonts w:hint="eastAsia" w:ascii="仿宋_GB2312" w:hAnsi="Times New Roman" w:eastAsia="仿宋_GB2312" w:cs="Times New Roman"/>
          <w:b w:val="0"/>
          <w:bCs w:val="0"/>
          <w:kern w:val="2"/>
          <w:sz w:val="28"/>
          <w:szCs w:val="28"/>
          <w:lang w:val="en-US" w:eastAsia="uk-UA" w:bidi="ar-SA"/>
        </w:rPr>
        <w:t>、学校财务工作接受外部审计、财政、税</w:t>
      </w:r>
      <w:r>
        <w:rPr>
          <w:rFonts w:hint="eastAsia" w:ascii="仿宋_GB2312" w:hAnsi="Times New Roman" w:eastAsia="仿宋_GB2312" w:cs="Times New Roman"/>
          <w:b w:val="0"/>
          <w:bCs w:val="0"/>
          <w:kern w:val="2"/>
          <w:sz w:val="28"/>
          <w:szCs w:val="28"/>
          <w:lang w:val="en-US" w:eastAsia="zh-CN" w:bidi="ar-SA"/>
        </w:rPr>
        <w:t>务</w:t>
      </w:r>
      <w:r>
        <w:rPr>
          <w:rFonts w:hint="eastAsia" w:ascii="仿宋_GB2312" w:hAnsi="Times New Roman" w:eastAsia="仿宋_GB2312" w:cs="Times New Roman"/>
          <w:b w:val="0"/>
          <w:bCs w:val="0"/>
          <w:kern w:val="2"/>
          <w:sz w:val="28"/>
          <w:szCs w:val="28"/>
          <w:lang w:val="en-US" w:eastAsia="uk-UA" w:bidi="ar-SA"/>
        </w:rPr>
        <w:t>、物价等部</w:t>
      </w:r>
      <w:r>
        <w:rPr>
          <w:rFonts w:hint="eastAsia" w:ascii="仿宋_GB2312" w:hAnsi="Times New Roman" w:eastAsia="仿宋_GB2312" w:cs="Times New Roman"/>
          <w:b w:val="0"/>
          <w:bCs w:val="0"/>
          <w:kern w:val="2"/>
          <w:sz w:val="28"/>
          <w:szCs w:val="28"/>
          <w:lang w:val="en-US" w:eastAsia="zh-CN" w:bidi="ar-SA"/>
        </w:rPr>
        <w:t>门</w:t>
      </w:r>
      <w:r>
        <w:rPr>
          <w:rFonts w:hint="eastAsia" w:ascii="仿宋_GB2312" w:hAnsi="Times New Roman" w:eastAsia="仿宋_GB2312" w:cs="Times New Roman"/>
          <w:b w:val="0"/>
          <w:bCs w:val="0"/>
          <w:kern w:val="2"/>
          <w:sz w:val="28"/>
          <w:szCs w:val="28"/>
          <w:lang w:val="en-US" w:eastAsia="uk-UA" w:bidi="ar-SA"/>
        </w:rPr>
        <w:t>监督</w:t>
      </w:r>
      <w:r>
        <w:rPr>
          <w:rFonts w:hint="eastAsia" w:ascii="仿宋_GB2312" w:hAnsi="Times New Roman" w:eastAsia="仿宋_GB2312" w:cs="Times New Roman"/>
          <w:b w:val="0"/>
          <w:bCs w:val="0"/>
          <w:kern w:val="2"/>
          <w:sz w:val="28"/>
          <w:szCs w:val="28"/>
          <w:lang w:val="en-US" w:eastAsia="zh-CN" w:bidi="ar-SA"/>
        </w:rPr>
        <w:t>检查</w:t>
      </w:r>
      <w:r>
        <w:rPr>
          <w:rFonts w:hint="eastAsia" w:ascii="仿宋_GB2312" w:hAnsi="Times New Roman" w:eastAsia="仿宋_GB2312" w:cs="Times New Roman"/>
          <w:b w:val="0"/>
          <w:bCs w:val="0"/>
          <w:kern w:val="2"/>
          <w:sz w:val="28"/>
          <w:szCs w:val="28"/>
          <w:lang w:val="en-US" w:eastAsia="uk-UA" w:bidi="ar-SA"/>
        </w:rPr>
        <w:t>。内部监督</w:t>
      </w:r>
      <w:r>
        <w:rPr>
          <w:rFonts w:hint="eastAsia" w:ascii="仿宋_GB2312" w:hAnsi="Times New Roman" w:eastAsia="仿宋_GB2312" w:cs="Times New Roman"/>
          <w:b w:val="0"/>
          <w:bCs w:val="0"/>
          <w:kern w:val="2"/>
          <w:sz w:val="28"/>
          <w:szCs w:val="28"/>
          <w:lang w:val="en-US" w:eastAsia="zh-CN" w:bidi="ar-SA"/>
        </w:rPr>
        <w:t>由</w:t>
      </w:r>
      <w:r>
        <w:rPr>
          <w:rFonts w:hint="eastAsia" w:ascii="仿宋_GB2312" w:hAnsi="Times New Roman" w:eastAsia="仿宋_GB2312" w:cs="Times New Roman"/>
          <w:b w:val="0"/>
          <w:bCs w:val="0"/>
          <w:kern w:val="2"/>
          <w:sz w:val="28"/>
          <w:szCs w:val="28"/>
          <w:lang w:val="en-US" w:eastAsia="uk-UA" w:bidi="ar-SA"/>
        </w:rPr>
        <w:t>财务对校内一切经济活动进行事前、事中、事后监督，监管资金收支合法性，保证财务资料的真实性、合法性、可靠性、准确性，防止重大失误及违法违规行为，保证资金安全，提高资金使用效率。</w:t>
      </w:r>
    </w:p>
    <w:p>
      <w:pPr>
        <w:ind w:firstLine="560" w:firstLineChars="200"/>
        <w:outlineLvl w:val="9"/>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3</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2021年起</w:t>
      </w:r>
      <w:r>
        <w:rPr>
          <w:rFonts w:hint="eastAsia" w:ascii="仿宋_GB2312" w:hAnsi="Times New Roman" w:eastAsia="仿宋_GB2312" w:cs="Times New Roman"/>
          <w:b w:val="0"/>
          <w:bCs w:val="0"/>
          <w:kern w:val="2"/>
          <w:sz w:val="28"/>
          <w:szCs w:val="28"/>
          <w:lang w:val="en-US" w:eastAsia="uk-UA" w:bidi="ar-SA"/>
        </w:rPr>
        <w:t>学校财务</w:t>
      </w:r>
      <w:r>
        <w:rPr>
          <w:rFonts w:hint="eastAsia" w:ascii="仿宋_GB2312" w:hAnsi="Times New Roman" w:eastAsia="仿宋_GB2312" w:cs="Times New Roman"/>
          <w:b w:val="0"/>
          <w:bCs w:val="0"/>
          <w:kern w:val="2"/>
          <w:sz w:val="28"/>
          <w:szCs w:val="28"/>
          <w:lang w:val="en-US" w:eastAsia="zh-CN" w:bidi="ar-SA"/>
        </w:rPr>
        <w:t>启用预算管理一体化系统，实现了预算编制、日常支付、账务核算、报表编制等功能的一体化</w:t>
      </w:r>
      <w:r>
        <w:rPr>
          <w:rFonts w:hint="eastAsia" w:ascii="仿宋_GB2312" w:hAnsi="Times New Roman" w:eastAsia="仿宋_GB2312" w:cs="Times New Roman"/>
          <w:b w:val="0"/>
          <w:bCs w:val="0"/>
          <w:kern w:val="2"/>
          <w:sz w:val="28"/>
          <w:szCs w:val="28"/>
          <w:lang w:val="en-US" w:eastAsia="uk-UA" w:bidi="ar-SA"/>
        </w:rPr>
        <w:t>。</w:t>
      </w:r>
      <w:r>
        <w:rPr>
          <w:rFonts w:hint="eastAsia" w:ascii="仿宋_GB2312" w:hAnsi="Times New Roman" w:eastAsia="仿宋_GB2312" w:cs="Times New Roman"/>
          <w:b w:val="0"/>
          <w:bCs w:val="0"/>
          <w:kern w:val="2"/>
          <w:sz w:val="28"/>
          <w:szCs w:val="28"/>
          <w:lang w:val="en-US" w:eastAsia="zh-CN" w:bidi="ar-SA"/>
        </w:rPr>
        <w:t>按时编制月报和年度预算、决算报表，按照要求按时在指定政府网站公开预算、决算。</w:t>
      </w:r>
    </w:p>
    <w:p>
      <w:pPr>
        <w:pStyle w:val="5"/>
        <w:keepNext/>
        <w:keepLines/>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zh-CN" w:eastAsia="zh-CN" w:bidi="ar-SA"/>
        </w:rPr>
      </w:pPr>
      <w:bookmarkStart w:id="123" w:name="_Toc5192"/>
      <w:bookmarkStart w:id="124" w:name="_Toc6980"/>
      <w:r>
        <w:rPr>
          <w:rFonts w:hint="eastAsia" w:ascii="仿宋_GB2312" w:hAnsi="Times New Roman" w:eastAsia="仿宋_GB2312" w:cs="Times New Roman"/>
          <w:b/>
          <w:bCs/>
          <w:kern w:val="2"/>
          <w:sz w:val="28"/>
          <w:szCs w:val="28"/>
          <w:lang w:val="en-US" w:eastAsia="zh-CN" w:bidi="ar-SA"/>
        </w:rPr>
        <w:t>4.5 学生资助</w:t>
      </w:r>
      <w:bookmarkEnd w:id="123"/>
      <w:bookmarkEnd w:id="124"/>
    </w:p>
    <w:p>
      <w:pPr>
        <w:ind w:firstLine="560" w:firstLineChars="200"/>
        <w:outlineLvl w:val="9"/>
        <w:rPr>
          <w:rFonts w:hint="eastAsia" w:ascii="仿宋_GB2312" w:hAnsi="Times New Roman" w:eastAsia="仿宋_GB2312" w:cs="Times New Roman"/>
          <w:b w:val="0"/>
          <w:bCs w:val="0"/>
          <w:kern w:val="2"/>
          <w:sz w:val="28"/>
          <w:szCs w:val="28"/>
          <w:lang w:val="uk-UA" w:eastAsia="zh-CN" w:bidi="ar-SA"/>
        </w:rPr>
      </w:pPr>
      <w:bookmarkStart w:id="125" w:name="_Toc87863229"/>
      <w:r>
        <w:rPr>
          <w:rFonts w:hint="eastAsia" w:ascii="仿宋_GB2312" w:hAnsi="Times New Roman" w:eastAsia="仿宋_GB2312" w:cs="Times New Roman"/>
          <w:b w:val="0"/>
          <w:bCs w:val="0"/>
          <w:kern w:val="2"/>
          <w:sz w:val="28"/>
          <w:szCs w:val="28"/>
          <w:lang w:val="en-US" w:eastAsia="zh-CN" w:bidi="ar-SA"/>
        </w:rPr>
        <w:t>1、</w:t>
      </w:r>
      <w:r>
        <w:rPr>
          <w:rFonts w:hint="eastAsia" w:ascii="仿宋_GB2312" w:hAnsi="Times New Roman" w:eastAsia="仿宋_GB2312" w:cs="Times New Roman"/>
          <w:b w:val="0"/>
          <w:bCs w:val="0"/>
          <w:kern w:val="2"/>
          <w:sz w:val="28"/>
          <w:szCs w:val="28"/>
          <w:lang w:val="uk-UA" w:eastAsia="zh-CN" w:bidi="ar-SA"/>
        </w:rPr>
        <w:t>国家助学金情况：</w:t>
      </w:r>
    </w:p>
    <w:p>
      <w:pPr>
        <w:ind w:firstLine="560" w:firstLineChars="200"/>
        <w:outlineLvl w:val="9"/>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uk-UA" w:eastAsia="zh-CN" w:bidi="ar-SA"/>
        </w:rPr>
        <w:t>我校全面落实中等职业学校学生资助政策，实行以国家助学金为主，以校内奖学金为辅的助学体系。</w:t>
      </w:r>
      <w:r>
        <w:rPr>
          <w:rFonts w:hint="eastAsia" w:ascii="仿宋_GB2312" w:hAnsi="Times New Roman" w:eastAsia="仿宋_GB2312" w:cs="Times New Roman"/>
          <w:b w:val="0"/>
          <w:bCs w:val="0"/>
          <w:kern w:val="2"/>
          <w:sz w:val="28"/>
          <w:szCs w:val="28"/>
          <w:lang w:val="en-US" w:eastAsia="zh-CN" w:bidi="ar-SA"/>
        </w:rPr>
        <w:t>2021年春季享受国家助学金56人，占全校总人数8.5%,</w:t>
      </w:r>
      <w:r>
        <w:rPr>
          <w:rFonts w:hint="eastAsia" w:ascii="仿宋_GB2312" w:hAnsi="Times New Roman" w:eastAsia="仿宋_GB2312" w:cs="Times New Roman"/>
          <w:b w:val="0"/>
          <w:bCs w:val="0"/>
          <w:kern w:val="2"/>
          <w:sz w:val="28"/>
          <w:szCs w:val="28"/>
          <w:lang w:val="uk-UA" w:eastAsia="zh-CN" w:bidi="ar-SA"/>
        </w:rPr>
        <w:t>应发放金额56000元，实际因资金短缺，发放金额</w:t>
      </w:r>
      <w:r>
        <w:rPr>
          <w:rFonts w:hint="eastAsia" w:ascii="仿宋_GB2312" w:hAnsi="Times New Roman" w:eastAsia="仿宋_GB2312" w:cs="Times New Roman"/>
          <w:b w:val="0"/>
          <w:bCs w:val="0"/>
          <w:kern w:val="2"/>
          <w:sz w:val="28"/>
          <w:szCs w:val="28"/>
          <w:lang w:val="en-US" w:eastAsia="zh-CN" w:bidi="ar-SA"/>
        </w:rPr>
        <w:t>53500</w:t>
      </w:r>
      <w:r>
        <w:rPr>
          <w:rFonts w:hint="eastAsia" w:ascii="仿宋_GB2312" w:hAnsi="Times New Roman" w:eastAsia="仿宋_GB2312" w:cs="Times New Roman"/>
          <w:b w:val="0"/>
          <w:bCs w:val="0"/>
          <w:kern w:val="2"/>
          <w:sz w:val="28"/>
          <w:szCs w:val="28"/>
          <w:lang w:val="uk-UA" w:eastAsia="zh-CN" w:bidi="ar-SA"/>
        </w:rPr>
        <w:t>元；</w:t>
      </w:r>
      <w:r>
        <w:rPr>
          <w:rFonts w:hint="eastAsia" w:ascii="仿宋_GB2312" w:hAnsi="Times New Roman" w:eastAsia="仿宋_GB2312" w:cs="Times New Roman"/>
          <w:b w:val="0"/>
          <w:bCs w:val="0"/>
          <w:kern w:val="2"/>
          <w:sz w:val="28"/>
          <w:szCs w:val="28"/>
          <w:lang w:val="en-US" w:eastAsia="zh-CN" w:bidi="ar-SA"/>
        </w:rPr>
        <w:t>四类学生资助情况: 2021年春季特困连片区11人，建档立卡户学生15人，农村低保家庭学生2人，其他经济困难学生28人。</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2021年秋季享受国家助学金53人，占全校总人数7.3%,</w:t>
      </w:r>
      <w:r>
        <w:rPr>
          <w:rFonts w:hint="eastAsia" w:ascii="仿宋_GB2312" w:hAnsi="Times New Roman" w:eastAsia="仿宋_GB2312" w:cs="Times New Roman"/>
          <w:b w:val="0"/>
          <w:bCs w:val="0"/>
          <w:kern w:val="2"/>
          <w:sz w:val="28"/>
          <w:szCs w:val="28"/>
          <w:lang w:val="uk-UA" w:eastAsia="zh-CN" w:bidi="ar-SA"/>
        </w:rPr>
        <w:t>应发放金额</w:t>
      </w:r>
      <w:r>
        <w:rPr>
          <w:rFonts w:hint="eastAsia" w:ascii="仿宋_GB2312" w:hAnsi="Times New Roman" w:eastAsia="仿宋_GB2312" w:cs="Times New Roman"/>
          <w:b w:val="0"/>
          <w:bCs w:val="0"/>
          <w:kern w:val="2"/>
          <w:sz w:val="28"/>
          <w:szCs w:val="28"/>
          <w:lang w:val="en-US" w:eastAsia="zh-CN" w:bidi="ar-SA"/>
        </w:rPr>
        <w:t>53000</w:t>
      </w:r>
      <w:r>
        <w:rPr>
          <w:rFonts w:hint="eastAsia" w:ascii="仿宋_GB2312" w:hAnsi="Times New Roman" w:eastAsia="仿宋_GB2312" w:cs="Times New Roman"/>
          <w:b w:val="0"/>
          <w:bCs w:val="0"/>
          <w:kern w:val="2"/>
          <w:sz w:val="28"/>
          <w:szCs w:val="28"/>
          <w:lang w:val="uk-UA" w:eastAsia="zh-CN" w:bidi="ar-SA"/>
        </w:rPr>
        <w:t>元，实际秋季发放53000元，并补充春季短缺7125元，共计发放金额60125元。</w:t>
      </w:r>
      <w:r>
        <w:rPr>
          <w:rFonts w:hint="eastAsia" w:ascii="仿宋_GB2312" w:hAnsi="Times New Roman" w:eastAsia="仿宋_GB2312" w:cs="Times New Roman"/>
          <w:b w:val="0"/>
          <w:bCs w:val="0"/>
          <w:kern w:val="2"/>
          <w:sz w:val="28"/>
          <w:szCs w:val="28"/>
          <w:lang w:val="en-US" w:eastAsia="zh-CN" w:bidi="ar-SA"/>
        </w:rPr>
        <w:t>四类学生资助情况: 2021年秋季特困连片区9人，建档立卡家庭学生11人，低保家庭学生5人，其他经济困难学生28人。</w:t>
      </w:r>
      <w:r>
        <w:rPr>
          <w:rFonts w:hint="eastAsia" w:ascii="仿宋_GB2312" w:hAnsi="Times New Roman" w:eastAsia="仿宋_GB2312" w:cs="Times New Roman"/>
          <w:b w:val="0"/>
          <w:bCs w:val="0"/>
          <w:kern w:val="2"/>
          <w:sz w:val="28"/>
          <w:szCs w:val="28"/>
          <w:lang w:val="uk-UA" w:eastAsia="zh-CN" w:bidi="ar-SA"/>
        </w:rPr>
        <w:t>2021年全年累计应发放国家助学金</w:t>
      </w:r>
      <w:r>
        <w:rPr>
          <w:rFonts w:hint="eastAsia" w:ascii="仿宋_GB2312" w:hAnsi="Times New Roman" w:eastAsia="仿宋_GB2312" w:cs="Times New Roman"/>
          <w:b w:val="0"/>
          <w:bCs w:val="0"/>
          <w:kern w:val="2"/>
          <w:sz w:val="28"/>
          <w:szCs w:val="28"/>
          <w:lang w:val="en-US" w:eastAsia="zh-CN" w:bidi="ar-SA"/>
        </w:rPr>
        <w:t>109000</w:t>
      </w:r>
      <w:r>
        <w:rPr>
          <w:rFonts w:hint="eastAsia" w:ascii="仿宋_GB2312" w:hAnsi="Times New Roman" w:eastAsia="仿宋_GB2312" w:cs="Times New Roman"/>
          <w:b w:val="0"/>
          <w:bCs w:val="0"/>
          <w:kern w:val="2"/>
          <w:sz w:val="28"/>
          <w:szCs w:val="28"/>
          <w:lang w:val="uk-UA" w:eastAsia="zh-CN" w:bidi="ar-SA"/>
        </w:rPr>
        <w:t>元，实际累计发放113625元。具体情况如下：</w:t>
      </w:r>
    </w:p>
    <w:p>
      <w:pPr>
        <w:spacing w:line="300" w:lineRule="exact"/>
        <w:jc w:val="center"/>
        <w:outlineLvl w:val="9"/>
        <w:rPr>
          <w:rFonts w:ascii="仿宋_GB2312" w:hAnsi="仿宋_GB2312" w:eastAsia="仿宋_GB2312" w:cs="仿宋_GB2312"/>
          <w:b/>
          <w:bCs/>
          <w:sz w:val="28"/>
          <w:szCs w:val="28"/>
        </w:rPr>
      </w:pPr>
    </w:p>
    <w:p>
      <w:pPr>
        <w:spacing w:line="300" w:lineRule="exact"/>
        <w:jc w:val="center"/>
        <w:outlineLvl w:val="9"/>
        <w:rPr>
          <w:rFonts w:ascii="仿宋_GB2312" w:hAnsi="仿宋_GB2312" w:eastAsia="仿宋_GB2312" w:cs="仿宋_GB2312"/>
          <w:b/>
          <w:bCs/>
          <w:sz w:val="28"/>
          <w:szCs w:val="28"/>
          <w:lang w:val="uk-UA"/>
        </w:rPr>
      </w:pPr>
      <w:r>
        <w:rPr>
          <w:rFonts w:hint="eastAsia" w:ascii="仿宋_GB2312" w:hAnsi="仿宋_GB2312" w:eastAsia="仿宋_GB2312" w:cs="仿宋_GB2312"/>
          <w:b/>
          <w:bCs/>
          <w:sz w:val="28"/>
          <w:szCs w:val="28"/>
        </w:rPr>
        <w:t>202</w:t>
      </w:r>
      <w:r>
        <w:rPr>
          <w:rFonts w:hint="eastAsia" w:ascii="仿宋_GB2312" w:hAnsi="仿宋_GB2312" w:cs="仿宋_GB2312" w:eastAsiaTheme="minorEastAsia"/>
          <w:b/>
          <w:bCs/>
          <w:sz w:val="28"/>
          <w:szCs w:val="28"/>
        </w:rPr>
        <w:t>1</w:t>
      </w:r>
      <w:r>
        <w:rPr>
          <w:rFonts w:hint="eastAsia" w:ascii="仿宋_GB2312" w:hAnsi="仿宋_GB2312" w:eastAsia="仿宋_GB2312" w:cs="仿宋_GB2312"/>
          <w:b/>
          <w:bCs/>
          <w:sz w:val="28"/>
          <w:szCs w:val="28"/>
          <w:lang w:val="uk-UA"/>
        </w:rPr>
        <w:t>年国家助学金发放情况统计表</w:t>
      </w:r>
    </w:p>
    <w:tbl>
      <w:tblPr>
        <w:tblStyle w:val="14"/>
        <w:tblpPr w:leftFromText="180" w:rightFromText="180" w:vertAnchor="text" w:horzAnchor="margin" w:tblpXSpec="center" w:tblpY="484"/>
        <w:tblOverlap w:val="never"/>
        <w:tblW w:w="8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072"/>
        <w:gridCol w:w="1496"/>
        <w:gridCol w:w="2842"/>
        <w:gridCol w:w="1138"/>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790" w:type="dxa"/>
            <w:tcBorders>
              <w:top w:val="single" w:color="F79646" w:sz="8" w:space="0"/>
              <w:left w:val="single" w:color="F79646" w:sz="8" w:space="0"/>
              <w:bottom w:val="single" w:color="FFFFFF" w:sz="18" w:space="0"/>
              <w:right w:val="single" w:color="F79646" w:sz="8" w:space="0"/>
            </w:tcBorders>
            <w:shd w:val="clear" w:color="auto" w:fill="F79646"/>
            <w:vAlign w:val="center"/>
          </w:tcPr>
          <w:p>
            <w:pPr>
              <w:tabs>
                <w:tab w:val="left" w:pos="900"/>
              </w:tabs>
              <w:snapToGrid w:val="0"/>
              <w:spacing w:line="300" w:lineRule="exact"/>
              <w:jc w:val="center"/>
              <w:outlineLvl w:val="9"/>
              <w:rPr>
                <w:rFonts w:ascii="仿宋_GB2312" w:hAnsi="仿宋_GB2312" w:eastAsia="仿宋_GB2312" w:cs="仿宋_GB2312"/>
              </w:rPr>
            </w:pPr>
            <w:r>
              <w:rPr>
                <w:rFonts w:hint="eastAsia" w:ascii="仿宋_GB2312" w:hAnsi="仿宋_GB2312" w:eastAsia="仿宋_GB2312" w:cs="仿宋_GB2312"/>
                <w:lang w:val="uk-UA"/>
              </w:rPr>
              <w:t>学期</w:t>
            </w:r>
          </w:p>
        </w:tc>
        <w:tc>
          <w:tcPr>
            <w:tcW w:w="1072" w:type="dxa"/>
            <w:tcBorders>
              <w:top w:val="single" w:color="F79646" w:sz="8" w:space="0"/>
              <w:left w:val="single" w:color="F79646" w:sz="8" w:space="0"/>
              <w:bottom w:val="single" w:color="FFFFFF" w:sz="18" w:space="0"/>
              <w:right w:val="single" w:color="F79646" w:sz="8" w:space="0"/>
            </w:tcBorders>
            <w:shd w:val="clear" w:color="auto" w:fill="F79646"/>
            <w:vAlign w:val="center"/>
          </w:tcPr>
          <w:p>
            <w:pPr>
              <w:tabs>
                <w:tab w:val="left" w:pos="900"/>
              </w:tabs>
              <w:snapToGrid w:val="0"/>
              <w:spacing w:line="300" w:lineRule="exact"/>
              <w:jc w:val="center"/>
              <w:outlineLvl w:val="9"/>
              <w:rPr>
                <w:rFonts w:ascii="仿宋_GB2312" w:hAnsi="仿宋_GB2312" w:eastAsia="仿宋_GB2312" w:cs="仿宋_GB2312"/>
              </w:rPr>
            </w:pPr>
            <w:r>
              <w:rPr>
                <w:rFonts w:hint="eastAsia" w:ascii="仿宋_GB2312" w:hAnsi="仿宋_GB2312" w:eastAsia="仿宋_GB2312" w:cs="仿宋_GB2312"/>
                <w:lang w:val="uk-UA"/>
              </w:rPr>
              <w:t>年级</w:t>
            </w:r>
          </w:p>
        </w:tc>
        <w:tc>
          <w:tcPr>
            <w:tcW w:w="1496" w:type="dxa"/>
            <w:tcBorders>
              <w:top w:val="single" w:color="F79646" w:sz="8" w:space="0"/>
              <w:left w:val="single" w:color="F79646" w:sz="8" w:space="0"/>
              <w:bottom w:val="single" w:color="FFFFFF" w:sz="18" w:space="0"/>
              <w:right w:val="single" w:color="F79646" w:sz="8" w:space="0"/>
            </w:tcBorders>
            <w:shd w:val="clear" w:color="auto" w:fill="F79646"/>
            <w:vAlign w:val="center"/>
          </w:tcPr>
          <w:p>
            <w:pPr>
              <w:tabs>
                <w:tab w:val="left" w:pos="900"/>
              </w:tabs>
              <w:snapToGrid w:val="0"/>
              <w:spacing w:line="300" w:lineRule="exact"/>
              <w:jc w:val="center"/>
              <w:outlineLvl w:val="9"/>
              <w:rPr>
                <w:rFonts w:ascii="仿宋_GB2312" w:hAnsi="仿宋_GB2312" w:eastAsia="仿宋_GB2312" w:cs="仿宋_GB2312"/>
              </w:rPr>
            </w:pPr>
            <w:r>
              <w:rPr>
                <w:rFonts w:hint="eastAsia" w:ascii="仿宋_GB2312" w:hAnsi="仿宋_GB2312" w:eastAsia="仿宋_GB2312" w:cs="仿宋_GB2312"/>
                <w:lang w:val="uk-UA"/>
              </w:rPr>
              <w:t>受助人数（人）</w:t>
            </w:r>
          </w:p>
        </w:tc>
        <w:tc>
          <w:tcPr>
            <w:tcW w:w="2842" w:type="dxa"/>
            <w:tcBorders>
              <w:top w:val="single" w:color="F79646" w:sz="8" w:space="0"/>
              <w:left w:val="single" w:color="F79646" w:sz="8" w:space="0"/>
              <w:bottom w:val="single" w:color="FFFFFF" w:sz="18" w:space="0"/>
              <w:right w:val="single" w:color="F79646" w:sz="8" w:space="0"/>
            </w:tcBorders>
            <w:shd w:val="clear" w:color="auto" w:fill="F79646"/>
            <w:vAlign w:val="center"/>
          </w:tcPr>
          <w:p>
            <w:pPr>
              <w:tabs>
                <w:tab w:val="left" w:pos="900"/>
              </w:tabs>
              <w:snapToGrid w:val="0"/>
              <w:spacing w:line="300" w:lineRule="exact"/>
              <w:jc w:val="center"/>
              <w:outlineLvl w:val="9"/>
              <w:rPr>
                <w:rFonts w:hint="eastAsia" w:ascii="仿宋_GB2312" w:hAnsi="仿宋_GB2312" w:cs="仿宋_GB2312" w:eastAsiaTheme="minorEastAsia"/>
              </w:rPr>
            </w:pPr>
            <w:r>
              <w:rPr>
                <w:rFonts w:hint="eastAsia" w:ascii="仿宋_GB2312" w:hAnsi="仿宋_GB2312" w:eastAsia="仿宋_GB2312" w:cs="仿宋_GB2312"/>
                <w:lang w:val="uk-UA"/>
              </w:rPr>
              <w:t>资助标准</w:t>
            </w:r>
            <w:r>
              <w:rPr>
                <w:rFonts w:hint="eastAsia" w:ascii="仿宋_GB2312" w:hAnsi="仿宋_GB2312" w:cs="仿宋_GB2312" w:eastAsiaTheme="minorEastAsia"/>
                <w:lang w:val="uk-UA"/>
              </w:rPr>
              <w:t xml:space="preserve">    </w:t>
            </w:r>
          </w:p>
        </w:tc>
        <w:tc>
          <w:tcPr>
            <w:tcW w:w="1138" w:type="dxa"/>
            <w:tcBorders>
              <w:top w:val="single" w:color="F79646" w:sz="8" w:space="0"/>
              <w:left w:val="single" w:color="F79646" w:sz="8" w:space="0"/>
              <w:bottom w:val="single" w:color="FFFFFF" w:sz="18" w:space="0"/>
              <w:right w:val="single" w:color="F79646" w:sz="8" w:space="0"/>
            </w:tcBorders>
            <w:shd w:val="clear" w:color="auto" w:fill="F79646"/>
          </w:tcPr>
          <w:p>
            <w:pPr>
              <w:tabs>
                <w:tab w:val="left" w:pos="900"/>
              </w:tabs>
              <w:snapToGrid w:val="0"/>
              <w:spacing w:line="300" w:lineRule="exact"/>
              <w:jc w:val="center"/>
              <w:outlineLvl w:val="9"/>
              <w:rPr>
                <w:rFonts w:hint="eastAsia" w:ascii="仿宋_GB2312" w:hAnsi="仿宋_GB2312" w:cs="仿宋_GB2312" w:eastAsiaTheme="minorEastAsia"/>
                <w:lang w:val="uk-UA"/>
              </w:rPr>
            </w:pPr>
            <w:r>
              <w:rPr>
                <w:rFonts w:hint="eastAsia" w:ascii="仿宋_GB2312" w:hAnsi="仿宋_GB2312" w:cs="仿宋_GB2312" w:eastAsiaTheme="minorEastAsia"/>
                <w:lang w:val="uk-UA"/>
              </w:rPr>
              <w:t>应发放金额</w:t>
            </w:r>
          </w:p>
          <w:p>
            <w:pPr>
              <w:pStyle w:val="2"/>
              <w:outlineLvl w:val="9"/>
              <w:rPr>
                <w:lang w:val="uk-UA"/>
              </w:rPr>
            </w:pPr>
            <w:r>
              <w:rPr>
                <w:rFonts w:hint="eastAsia"/>
                <w:lang w:val="uk-UA"/>
              </w:rPr>
              <w:t>(元)</w:t>
            </w:r>
          </w:p>
        </w:tc>
        <w:tc>
          <w:tcPr>
            <w:tcW w:w="1138" w:type="dxa"/>
            <w:tcBorders>
              <w:top w:val="single" w:color="F79646" w:sz="8" w:space="0"/>
              <w:left w:val="single" w:color="F79646" w:sz="8" w:space="0"/>
              <w:bottom w:val="single" w:color="FFFFFF" w:sz="18" w:space="0"/>
              <w:right w:val="single" w:color="F79646" w:sz="8" w:space="0"/>
            </w:tcBorders>
            <w:shd w:val="clear" w:color="auto" w:fill="F79646"/>
            <w:vAlign w:val="center"/>
          </w:tcPr>
          <w:p>
            <w:pPr>
              <w:tabs>
                <w:tab w:val="left" w:pos="900"/>
              </w:tabs>
              <w:snapToGrid w:val="0"/>
              <w:spacing w:line="300" w:lineRule="exact"/>
              <w:jc w:val="center"/>
              <w:outlineLvl w:val="9"/>
              <w:rPr>
                <w:rFonts w:ascii="仿宋_GB2312" w:hAnsi="仿宋_GB2312" w:eastAsia="仿宋_GB2312" w:cs="仿宋_GB2312"/>
              </w:rPr>
            </w:pPr>
            <w:r>
              <w:rPr>
                <w:rFonts w:hint="eastAsia" w:ascii="仿宋_GB2312" w:hAnsi="仿宋_GB2312" w:cs="仿宋_GB2312" w:eastAsiaTheme="minorEastAsia"/>
                <w:lang w:val="uk-UA"/>
              </w:rPr>
              <w:t>实际发放</w:t>
            </w:r>
            <w:r>
              <w:rPr>
                <w:rFonts w:hint="eastAsia" w:ascii="仿宋_GB2312" w:hAnsi="仿宋_GB2312" w:eastAsia="仿宋_GB2312" w:cs="仿宋_GB2312"/>
                <w:lang w:val="uk-UA"/>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790" w:type="dxa"/>
            <w:vMerge w:val="restart"/>
            <w:tcBorders>
              <w:top w:val="single" w:color="FFFFFF" w:sz="18" w:space="0"/>
              <w:left w:val="single" w:color="F79646" w:sz="8" w:space="0"/>
              <w:bottom w:val="single" w:color="F79646" w:sz="8" w:space="0"/>
              <w:right w:val="single" w:color="F79646" w:sz="8" w:space="0"/>
            </w:tcBorders>
            <w:shd w:val="clear" w:color="auto" w:fill="FBD5B5"/>
            <w:vAlign w:val="center"/>
          </w:tcPr>
          <w:p>
            <w:pPr>
              <w:tabs>
                <w:tab w:val="left" w:pos="900"/>
              </w:tabs>
              <w:snapToGrid w:val="0"/>
              <w:jc w:val="center"/>
              <w:outlineLvl w:val="9"/>
              <w:rPr>
                <w:rFonts w:ascii="仿宋_GB2312" w:hAnsi="仿宋_GB2312" w:eastAsia="仿宋_GB2312" w:cs="仿宋_GB2312"/>
              </w:rPr>
            </w:pPr>
            <w:r>
              <w:rPr>
                <w:rFonts w:hint="eastAsia" w:ascii="仿宋_GB2312" w:hAnsi="仿宋_GB2312" w:eastAsia="仿宋_GB2312" w:cs="仿宋_GB2312"/>
                <w:lang w:val="uk-UA"/>
              </w:rPr>
              <w:t>春季</w:t>
            </w:r>
          </w:p>
        </w:tc>
        <w:tc>
          <w:tcPr>
            <w:tcW w:w="1072" w:type="dxa"/>
            <w:tcBorders>
              <w:top w:val="single" w:color="FFFFFF" w:sz="18" w:space="0"/>
              <w:left w:val="single" w:color="F79646" w:sz="8" w:space="0"/>
              <w:bottom w:val="single" w:color="F79646" w:sz="8" w:space="0"/>
              <w:right w:val="single" w:color="F79646" w:sz="8" w:space="0"/>
            </w:tcBorders>
            <w:shd w:val="clear" w:color="auto" w:fill="FBD5B5"/>
            <w:vAlign w:val="center"/>
          </w:tcPr>
          <w:p>
            <w:pPr>
              <w:tabs>
                <w:tab w:val="left" w:pos="900"/>
              </w:tabs>
              <w:snapToGrid w:val="0"/>
              <w:jc w:val="center"/>
              <w:outlineLvl w:val="9"/>
              <w:rPr>
                <w:rFonts w:ascii="仿宋_GB2312" w:hAnsi="仿宋_GB2312" w:eastAsia="仿宋_GB2312" w:cs="仿宋_GB2312"/>
              </w:rPr>
            </w:pPr>
            <w:r>
              <w:rPr>
                <w:rFonts w:hint="eastAsia" w:ascii="仿宋_GB2312" w:hAnsi="仿宋_GB2312" w:eastAsia="仿宋_GB2312" w:cs="仿宋_GB2312"/>
              </w:rPr>
              <w:t>2019</w:t>
            </w:r>
            <w:r>
              <w:rPr>
                <w:rFonts w:hint="eastAsia" w:ascii="仿宋_GB2312" w:hAnsi="仿宋_GB2312" w:eastAsia="仿宋_GB2312" w:cs="仿宋_GB2312"/>
                <w:lang w:val="uk-UA"/>
              </w:rPr>
              <w:t>级</w:t>
            </w:r>
          </w:p>
        </w:tc>
        <w:tc>
          <w:tcPr>
            <w:tcW w:w="1496" w:type="dxa"/>
            <w:tcBorders>
              <w:top w:val="single" w:color="FFFFFF" w:sz="18" w:space="0"/>
              <w:left w:val="single" w:color="F79646" w:sz="8" w:space="0"/>
              <w:bottom w:val="single" w:color="F79646" w:sz="8" w:space="0"/>
              <w:right w:val="single" w:color="F79646" w:sz="8" w:space="0"/>
            </w:tcBorders>
            <w:shd w:val="clear" w:color="auto" w:fill="FBD5B5"/>
            <w:vAlign w:val="center"/>
          </w:tcPr>
          <w:p>
            <w:pPr>
              <w:tabs>
                <w:tab w:val="left" w:pos="900"/>
              </w:tabs>
              <w:snapToGrid w:val="0"/>
              <w:jc w:val="center"/>
              <w:outlineLvl w:val="9"/>
              <w:rPr>
                <w:rFonts w:hint="eastAsia" w:ascii="仿宋_GB2312" w:hAnsi="仿宋_GB2312" w:cs="仿宋_GB2312" w:eastAsiaTheme="minorEastAsia"/>
              </w:rPr>
            </w:pPr>
            <w:r>
              <w:rPr>
                <w:rFonts w:hint="eastAsia" w:ascii="仿宋_GB2312" w:hAnsi="仿宋_GB2312" w:cs="仿宋_GB2312" w:eastAsiaTheme="minorEastAsia"/>
              </w:rPr>
              <w:t>35</w:t>
            </w:r>
          </w:p>
        </w:tc>
        <w:tc>
          <w:tcPr>
            <w:tcW w:w="2842" w:type="dxa"/>
            <w:vMerge w:val="restart"/>
            <w:tcBorders>
              <w:top w:val="single" w:color="FFFFFF" w:sz="18" w:space="0"/>
              <w:left w:val="single" w:color="F79646" w:sz="8" w:space="0"/>
              <w:right w:val="single" w:color="F79646" w:sz="8" w:space="0"/>
            </w:tcBorders>
            <w:shd w:val="clear" w:color="auto" w:fill="FBD5B5"/>
            <w:vAlign w:val="center"/>
          </w:tcPr>
          <w:p>
            <w:pPr>
              <w:tabs>
                <w:tab w:val="left" w:pos="900"/>
              </w:tabs>
              <w:snapToGrid w:val="0"/>
              <w:outlineLvl w:val="9"/>
              <w:rPr>
                <w:rFonts w:ascii="仿宋_GB2312" w:hAnsi="仿宋_GB2312" w:eastAsia="仿宋_GB2312" w:cs="仿宋_GB2312"/>
                <w:lang w:val="uk-UA"/>
              </w:rPr>
            </w:pPr>
          </w:p>
          <w:p>
            <w:pPr>
              <w:tabs>
                <w:tab w:val="left" w:pos="900"/>
              </w:tabs>
              <w:snapToGrid w:val="0"/>
              <w:jc w:val="center"/>
              <w:outlineLvl w:val="9"/>
              <w:rPr>
                <w:rFonts w:ascii="仿宋_GB2312" w:hAnsi="仿宋_GB2312" w:eastAsia="仿宋_GB2312" w:cs="仿宋_GB2312"/>
                <w:lang w:val="uk-UA"/>
              </w:rPr>
            </w:pPr>
          </w:p>
          <w:p>
            <w:pPr>
              <w:tabs>
                <w:tab w:val="left" w:pos="900"/>
              </w:tabs>
              <w:snapToGrid w:val="0"/>
              <w:jc w:val="center"/>
              <w:outlineLvl w:val="9"/>
              <w:rPr>
                <w:rFonts w:ascii="仿宋_GB2312" w:hAnsi="仿宋_GB2312" w:eastAsia="仿宋_GB2312" w:cs="仿宋_GB2312"/>
                <w:lang w:val="uk-UA"/>
              </w:rPr>
            </w:pPr>
          </w:p>
          <w:p>
            <w:pPr>
              <w:tabs>
                <w:tab w:val="left" w:pos="900"/>
              </w:tabs>
              <w:snapToGrid w:val="0"/>
              <w:jc w:val="center"/>
              <w:outlineLvl w:val="9"/>
              <w:rPr>
                <w:rFonts w:ascii="仿宋_GB2312" w:hAnsi="仿宋_GB2312" w:eastAsia="仿宋_GB2312" w:cs="仿宋_GB2312"/>
                <w:lang w:val="uk-UA"/>
              </w:rPr>
            </w:pPr>
          </w:p>
          <w:p>
            <w:pPr>
              <w:tabs>
                <w:tab w:val="left" w:pos="900"/>
              </w:tabs>
              <w:snapToGrid w:val="0"/>
              <w:jc w:val="center"/>
              <w:outlineLvl w:val="9"/>
              <w:rPr>
                <w:rFonts w:ascii="仿宋_GB2312" w:hAnsi="仿宋_GB2312" w:eastAsia="仿宋_GB2312" w:cs="仿宋_GB2312"/>
                <w:lang w:val="uk-UA"/>
              </w:rPr>
            </w:pPr>
            <w:r>
              <w:rPr>
                <w:rFonts w:hint="eastAsia" w:ascii="仿宋_GB2312" w:hAnsi="仿宋_GB2312" w:eastAsia="仿宋_GB2312" w:cs="仿宋_GB2312"/>
              </w:rPr>
              <w:t>1000</w:t>
            </w:r>
            <w:r>
              <w:rPr>
                <w:rFonts w:hint="eastAsia" w:ascii="仿宋_GB2312" w:hAnsi="仿宋_GB2312" w:eastAsia="仿宋_GB2312" w:cs="仿宋_GB2312"/>
                <w:lang w:val="uk-UA"/>
              </w:rPr>
              <w:t>元</w:t>
            </w:r>
            <w:r>
              <w:rPr>
                <w:rFonts w:hint="eastAsia" w:ascii="仿宋_GB2312" w:hAnsi="仿宋_GB2312" w:eastAsia="仿宋_GB2312" w:cs="仿宋_GB2312"/>
              </w:rPr>
              <w:t>/</w:t>
            </w:r>
            <w:r>
              <w:rPr>
                <w:rFonts w:hint="eastAsia" w:ascii="仿宋_GB2312" w:hAnsi="仿宋_GB2312" w:eastAsia="仿宋_GB2312" w:cs="仿宋_GB2312"/>
                <w:lang w:val="uk-UA"/>
              </w:rPr>
              <w:t>学期</w:t>
            </w:r>
            <w:r>
              <w:rPr>
                <w:rFonts w:hint="eastAsia" w:ascii="仿宋_GB2312" w:hAnsi="仿宋_GB2312" w:eastAsia="仿宋_GB2312" w:cs="仿宋_GB2312"/>
              </w:rPr>
              <w:t>/</w:t>
            </w:r>
            <w:r>
              <w:rPr>
                <w:rFonts w:hint="eastAsia" w:ascii="仿宋_GB2312" w:hAnsi="仿宋_GB2312" w:eastAsia="仿宋_GB2312" w:cs="仿宋_GB2312"/>
                <w:lang w:val="uk-UA"/>
              </w:rPr>
              <w:t>人</w:t>
            </w:r>
          </w:p>
          <w:p>
            <w:pPr>
              <w:tabs>
                <w:tab w:val="left" w:pos="900"/>
              </w:tabs>
              <w:snapToGrid w:val="0"/>
              <w:jc w:val="center"/>
              <w:outlineLvl w:val="9"/>
              <w:rPr>
                <w:rFonts w:ascii="仿宋_GB2312" w:hAnsi="仿宋_GB2312" w:eastAsia="仿宋_GB2312" w:cs="仿宋_GB2312"/>
                <w:lang w:val="uk-UA"/>
              </w:rPr>
            </w:pPr>
          </w:p>
          <w:p>
            <w:pPr>
              <w:tabs>
                <w:tab w:val="left" w:pos="900"/>
              </w:tabs>
              <w:snapToGrid w:val="0"/>
              <w:jc w:val="center"/>
              <w:outlineLvl w:val="9"/>
              <w:rPr>
                <w:rFonts w:ascii="仿宋_GB2312" w:hAnsi="仿宋_GB2312" w:eastAsia="仿宋_GB2312" w:cs="仿宋_GB2312"/>
                <w:lang w:val="uk-UA"/>
              </w:rPr>
            </w:pPr>
          </w:p>
          <w:p>
            <w:pPr>
              <w:tabs>
                <w:tab w:val="left" w:pos="900"/>
              </w:tabs>
              <w:snapToGrid w:val="0"/>
              <w:outlineLvl w:val="9"/>
              <w:rPr>
                <w:rFonts w:ascii="仿宋_GB2312" w:hAnsi="仿宋_GB2312" w:eastAsia="仿宋_GB2312" w:cs="仿宋_GB2312"/>
              </w:rPr>
            </w:pPr>
          </w:p>
        </w:tc>
        <w:tc>
          <w:tcPr>
            <w:tcW w:w="1138" w:type="dxa"/>
            <w:tcBorders>
              <w:top w:val="single" w:color="FFFFFF" w:sz="18" w:space="0"/>
              <w:left w:val="single" w:color="F79646" w:sz="8" w:space="0"/>
              <w:right w:val="single" w:color="F79646" w:sz="8" w:space="0"/>
            </w:tcBorders>
            <w:shd w:val="clear" w:color="auto" w:fill="FBD5B5"/>
          </w:tcPr>
          <w:p>
            <w:pPr>
              <w:overflowPunct w:val="0"/>
              <w:autoSpaceDE w:val="0"/>
              <w:autoSpaceDN w:val="0"/>
              <w:adjustRightInd w:val="0"/>
              <w:snapToGrid w:val="0"/>
              <w:jc w:val="center"/>
              <w:textAlignment w:val="baseline"/>
              <w:outlineLvl w:val="9"/>
              <w:rPr>
                <w:rFonts w:hint="eastAsia" w:ascii="仿宋_GB2312" w:hAnsi="仿宋_GB2312"/>
              </w:rPr>
            </w:pPr>
          </w:p>
          <w:p>
            <w:pPr>
              <w:overflowPunct w:val="0"/>
              <w:autoSpaceDE w:val="0"/>
              <w:autoSpaceDN w:val="0"/>
              <w:adjustRightInd w:val="0"/>
              <w:snapToGrid w:val="0"/>
              <w:jc w:val="center"/>
              <w:textAlignment w:val="baseline"/>
              <w:outlineLvl w:val="9"/>
              <w:rPr>
                <w:rFonts w:hint="eastAsia" w:ascii="仿宋_GB2312" w:hAnsi="仿宋_GB2312"/>
              </w:rPr>
            </w:pPr>
            <w:r>
              <w:rPr>
                <w:rFonts w:hint="eastAsia" w:ascii="仿宋_GB2312" w:hAnsi="仿宋_GB2312"/>
              </w:rPr>
              <w:t>35000</w:t>
            </w:r>
          </w:p>
        </w:tc>
        <w:tc>
          <w:tcPr>
            <w:tcW w:w="1138" w:type="dxa"/>
            <w:tcBorders>
              <w:top w:val="single" w:color="FFFFFF" w:sz="18" w:space="0"/>
              <w:left w:val="single" w:color="F79646" w:sz="8" w:space="0"/>
              <w:bottom w:val="single" w:color="F79646" w:sz="8" w:space="0"/>
              <w:right w:val="single" w:color="F79646" w:sz="8" w:space="0"/>
            </w:tcBorders>
            <w:shd w:val="clear" w:color="auto" w:fill="FBD5B5"/>
            <w:vAlign w:val="center"/>
          </w:tcPr>
          <w:p>
            <w:pPr>
              <w:tabs>
                <w:tab w:val="left" w:pos="900"/>
              </w:tabs>
              <w:snapToGrid w:val="0"/>
              <w:jc w:val="center"/>
              <w:outlineLvl w:val="9"/>
              <w:rPr>
                <w:rFonts w:hint="eastAsia" w:ascii="仿宋_GB2312" w:hAnsi="仿宋_GB2312" w:cs="仿宋_GB2312" w:eastAsiaTheme="minorEastAsia"/>
              </w:rPr>
            </w:pPr>
            <w:r>
              <w:rPr>
                <w:rFonts w:hint="eastAsia" w:ascii="仿宋_GB2312" w:hAnsi="仿宋_GB2312" w:cs="仿宋_GB2312" w:eastAsiaTheme="minorEastAsia"/>
              </w:rPr>
              <w:t>38750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790" w:type="dxa"/>
            <w:vMerge w:val="continue"/>
            <w:tcBorders>
              <w:top w:val="single" w:color="FFFFFF" w:sz="18" w:space="0"/>
              <w:left w:val="single" w:color="F79646" w:sz="8" w:space="0"/>
              <w:bottom w:val="single" w:color="F79646" w:sz="8" w:space="0"/>
              <w:right w:val="single" w:color="F79646" w:sz="8" w:space="0"/>
            </w:tcBorders>
            <w:shd w:val="clear" w:color="auto" w:fill="auto"/>
            <w:vAlign w:val="center"/>
          </w:tcPr>
          <w:p>
            <w:pPr>
              <w:outlineLvl w:val="9"/>
              <w:rPr>
                <w:rFonts w:ascii="仿宋_GB2312" w:hAnsi="仿宋_GB2312" w:eastAsia="仿宋_GB2312" w:cs="仿宋_GB2312"/>
              </w:rPr>
            </w:pPr>
          </w:p>
        </w:tc>
        <w:tc>
          <w:tcPr>
            <w:tcW w:w="1072" w:type="dxa"/>
            <w:tcBorders>
              <w:top w:val="single" w:color="F79646" w:sz="8" w:space="0"/>
              <w:left w:val="single" w:color="F79646" w:sz="8" w:space="0"/>
              <w:bottom w:val="single" w:color="F79646" w:sz="8" w:space="0"/>
              <w:right w:val="single" w:color="F79646" w:sz="8" w:space="0"/>
            </w:tcBorders>
            <w:shd w:val="clear" w:color="auto" w:fill="FFFFFF"/>
            <w:vAlign w:val="center"/>
          </w:tcPr>
          <w:p>
            <w:pPr>
              <w:tabs>
                <w:tab w:val="left" w:pos="900"/>
              </w:tabs>
              <w:snapToGrid w:val="0"/>
              <w:jc w:val="center"/>
              <w:outlineLvl w:val="9"/>
              <w:rPr>
                <w:rFonts w:ascii="仿宋_GB2312" w:hAnsi="仿宋_GB2312" w:eastAsia="仿宋_GB2312" w:cs="仿宋_GB2312"/>
              </w:rPr>
            </w:pPr>
            <w:r>
              <w:rPr>
                <w:rFonts w:hint="eastAsia" w:ascii="仿宋_GB2312" w:hAnsi="仿宋_GB2312" w:eastAsia="仿宋_GB2312" w:cs="仿宋_GB2312"/>
              </w:rPr>
              <w:t>20</w:t>
            </w:r>
            <w:r>
              <w:rPr>
                <w:rFonts w:hint="eastAsia" w:ascii="仿宋_GB2312" w:hAnsi="仿宋_GB2312" w:cs="仿宋_GB2312" w:eastAsiaTheme="minorEastAsia"/>
              </w:rPr>
              <w:t>20</w:t>
            </w:r>
            <w:r>
              <w:rPr>
                <w:rFonts w:hint="eastAsia" w:ascii="仿宋_GB2312" w:hAnsi="仿宋_GB2312" w:eastAsia="仿宋_GB2312" w:cs="仿宋_GB2312"/>
                <w:lang w:val="uk-UA"/>
              </w:rPr>
              <w:t>级</w:t>
            </w:r>
          </w:p>
        </w:tc>
        <w:tc>
          <w:tcPr>
            <w:tcW w:w="1496" w:type="dxa"/>
            <w:tcBorders>
              <w:top w:val="single" w:color="F79646" w:sz="8" w:space="0"/>
              <w:left w:val="single" w:color="F79646" w:sz="8" w:space="0"/>
              <w:bottom w:val="single" w:color="F79646" w:sz="8" w:space="0"/>
              <w:right w:val="single" w:color="F79646" w:sz="8" w:space="0"/>
            </w:tcBorders>
            <w:shd w:val="clear" w:color="auto" w:fill="FFFFFF"/>
            <w:vAlign w:val="center"/>
          </w:tcPr>
          <w:p>
            <w:pPr>
              <w:tabs>
                <w:tab w:val="left" w:pos="900"/>
              </w:tabs>
              <w:snapToGrid w:val="0"/>
              <w:jc w:val="center"/>
              <w:outlineLvl w:val="9"/>
              <w:rPr>
                <w:rFonts w:hint="eastAsia" w:ascii="仿宋_GB2312" w:hAnsi="仿宋_GB2312" w:cs="仿宋_GB2312" w:eastAsiaTheme="minorEastAsia"/>
              </w:rPr>
            </w:pPr>
            <w:r>
              <w:rPr>
                <w:rFonts w:hint="eastAsia" w:ascii="仿宋_GB2312" w:hAnsi="仿宋_GB2312" w:eastAsia="仿宋_GB2312" w:cs="仿宋_GB2312"/>
              </w:rPr>
              <w:t>2</w:t>
            </w:r>
            <w:r>
              <w:rPr>
                <w:rFonts w:hint="eastAsia" w:ascii="仿宋_GB2312" w:hAnsi="仿宋_GB2312" w:cs="仿宋_GB2312" w:eastAsiaTheme="minorEastAsia"/>
              </w:rPr>
              <w:t>1</w:t>
            </w:r>
          </w:p>
        </w:tc>
        <w:tc>
          <w:tcPr>
            <w:tcW w:w="2842" w:type="dxa"/>
            <w:vMerge w:val="continue"/>
            <w:tcBorders>
              <w:left w:val="single" w:color="F79646" w:sz="8" w:space="0"/>
              <w:right w:val="single" w:color="F79646" w:sz="8" w:space="0"/>
            </w:tcBorders>
            <w:shd w:val="clear" w:color="auto" w:fill="FBD5B5"/>
            <w:vAlign w:val="center"/>
          </w:tcPr>
          <w:p>
            <w:pPr>
              <w:outlineLvl w:val="9"/>
              <w:rPr>
                <w:rFonts w:ascii="仿宋_GB2312" w:hAnsi="仿宋_GB2312" w:eastAsia="仿宋_GB2312" w:cs="仿宋_GB2312"/>
              </w:rPr>
            </w:pPr>
          </w:p>
        </w:tc>
        <w:tc>
          <w:tcPr>
            <w:tcW w:w="1138" w:type="dxa"/>
            <w:tcBorders>
              <w:left w:val="single" w:color="F79646" w:sz="8" w:space="0"/>
              <w:right w:val="single" w:color="F79646" w:sz="8" w:space="0"/>
            </w:tcBorders>
            <w:shd w:val="clear" w:color="auto" w:fill="FFFFFF"/>
          </w:tcPr>
          <w:p>
            <w:pPr>
              <w:overflowPunct w:val="0"/>
              <w:autoSpaceDE w:val="0"/>
              <w:autoSpaceDN w:val="0"/>
              <w:adjustRightInd w:val="0"/>
              <w:snapToGrid w:val="0"/>
              <w:jc w:val="center"/>
              <w:textAlignment w:val="baseline"/>
              <w:outlineLvl w:val="9"/>
              <w:rPr>
                <w:rFonts w:hint="eastAsia" w:ascii="仿宋_GB2312" w:hAnsi="仿宋_GB2312"/>
              </w:rPr>
            </w:pPr>
          </w:p>
          <w:p>
            <w:pPr>
              <w:overflowPunct w:val="0"/>
              <w:autoSpaceDE w:val="0"/>
              <w:autoSpaceDN w:val="0"/>
              <w:adjustRightInd w:val="0"/>
              <w:snapToGrid w:val="0"/>
              <w:jc w:val="center"/>
              <w:textAlignment w:val="baseline"/>
              <w:outlineLvl w:val="9"/>
              <w:rPr>
                <w:rFonts w:hint="eastAsia" w:ascii="仿宋_GB2312" w:hAnsi="仿宋_GB2312"/>
              </w:rPr>
            </w:pPr>
            <w:r>
              <w:rPr>
                <w:rFonts w:hint="eastAsia" w:ascii="仿宋_GB2312" w:hAnsi="仿宋_GB2312"/>
              </w:rPr>
              <w:t>21000</w:t>
            </w:r>
          </w:p>
        </w:tc>
        <w:tc>
          <w:tcPr>
            <w:tcW w:w="1138" w:type="dxa"/>
            <w:tcBorders>
              <w:top w:val="single" w:color="F79646" w:sz="8" w:space="0"/>
              <w:left w:val="single" w:color="F79646" w:sz="8" w:space="0"/>
              <w:bottom w:val="single" w:color="F79646" w:sz="8" w:space="0"/>
              <w:right w:val="single" w:color="F79646" w:sz="8" w:space="0"/>
            </w:tcBorders>
            <w:shd w:val="clear" w:color="auto" w:fill="FFFFFF"/>
            <w:vAlign w:val="center"/>
          </w:tcPr>
          <w:p>
            <w:pPr>
              <w:tabs>
                <w:tab w:val="left" w:pos="900"/>
              </w:tabs>
              <w:snapToGrid w:val="0"/>
              <w:jc w:val="center"/>
              <w:outlineLvl w:val="9"/>
              <w:rPr>
                <w:rFonts w:hint="eastAsia" w:ascii="仿宋_GB2312" w:hAnsi="仿宋_GB2312" w:cs="仿宋_GB2312" w:eastAsiaTheme="minorEastAsia"/>
              </w:rPr>
            </w:pPr>
            <w:r>
              <w:rPr>
                <w:rFonts w:hint="eastAsia" w:ascii="仿宋_GB2312" w:hAnsi="仿宋_GB2312" w:cs="仿宋_GB2312" w:eastAsiaTheme="minorEastAsia"/>
              </w:rPr>
              <w:t>14750+</w:t>
            </w:r>
            <w:r>
              <w:rPr>
                <w:rFonts w:hint="eastAsia" w:ascii="仿宋_GB2312" w:hAnsi="仿宋_GB2312" w:cs="仿宋_GB2312" w:eastAsiaTheme="minorEastAsia"/>
                <w:color w:val="FF0000"/>
              </w:rPr>
              <w:t>补发7125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90" w:type="dxa"/>
            <w:vMerge w:val="continue"/>
            <w:tcBorders>
              <w:top w:val="single" w:color="FFFFFF" w:sz="18" w:space="0"/>
              <w:left w:val="single" w:color="F79646" w:sz="8" w:space="0"/>
              <w:bottom w:val="single" w:color="F79646" w:sz="8" w:space="0"/>
              <w:right w:val="single" w:color="F79646" w:sz="8" w:space="0"/>
            </w:tcBorders>
            <w:shd w:val="clear" w:color="auto" w:fill="auto"/>
            <w:vAlign w:val="center"/>
          </w:tcPr>
          <w:p>
            <w:pPr>
              <w:outlineLvl w:val="9"/>
              <w:rPr>
                <w:rFonts w:ascii="仿宋_GB2312" w:hAnsi="仿宋_GB2312" w:eastAsia="仿宋_GB2312" w:cs="仿宋_GB2312"/>
              </w:rPr>
            </w:pPr>
          </w:p>
        </w:tc>
        <w:tc>
          <w:tcPr>
            <w:tcW w:w="1072" w:type="dxa"/>
            <w:tcBorders>
              <w:top w:val="single" w:color="F79646" w:sz="8" w:space="0"/>
              <w:left w:val="single" w:color="F79646" w:sz="8" w:space="0"/>
              <w:bottom w:val="single" w:color="F79646" w:sz="8" w:space="0"/>
              <w:right w:val="single" w:color="F79646" w:sz="8" w:space="0"/>
            </w:tcBorders>
            <w:shd w:val="clear" w:color="auto" w:fill="FBD5B5"/>
            <w:vAlign w:val="center"/>
          </w:tcPr>
          <w:p>
            <w:pPr>
              <w:tabs>
                <w:tab w:val="left" w:pos="900"/>
              </w:tabs>
              <w:snapToGrid w:val="0"/>
              <w:jc w:val="center"/>
              <w:outlineLvl w:val="9"/>
              <w:rPr>
                <w:rFonts w:ascii="仿宋_GB2312" w:hAnsi="仿宋_GB2312" w:eastAsia="仿宋_GB2312" w:cs="仿宋_GB2312"/>
              </w:rPr>
            </w:pPr>
            <w:r>
              <w:rPr>
                <w:rFonts w:hint="eastAsia" w:ascii="仿宋_GB2312" w:hAnsi="仿宋_GB2312" w:eastAsia="仿宋_GB2312" w:cs="仿宋_GB2312"/>
                <w:lang w:val="uk-UA"/>
              </w:rPr>
              <w:t>小计</w:t>
            </w:r>
          </w:p>
        </w:tc>
        <w:tc>
          <w:tcPr>
            <w:tcW w:w="1496" w:type="dxa"/>
            <w:tcBorders>
              <w:top w:val="single" w:color="F79646" w:sz="8" w:space="0"/>
              <w:left w:val="single" w:color="F79646" w:sz="8" w:space="0"/>
              <w:bottom w:val="single" w:color="F79646" w:sz="8" w:space="0"/>
              <w:right w:val="single" w:color="F79646" w:sz="8" w:space="0"/>
            </w:tcBorders>
            <w:shd w:val="clear" w:color="auto" w:fill="FBD5B5"/>
            <w:vAlign w:val="center"/>
          </w:tcPr>
          <w:p>
            <w:pPr>
              <w:tabs>
                <w:tab w:val="left" w:pos="900"/>
              </w:tabs>
              <w:snapToGrid w:val="0"/>
              <w:jc w:val="center"/>
              <w:outlineLvl w:val="9"/>
              <w:rPr>
                <w:rFonts w:hint="eastAsia" w:ascii="仿宋_GB2312" w:hAnsi="仿宋_GB2312" w:cs="仿宋_GB2312" w:eastAsiaTheme="minorEastAsia"/>
              </w:rPr>
            </w:pPr>
            <w:r>
              <w:rPr>
                <w:rFonts w:hint="eastAsia" w:ascii="仿宋_GB2312" w:hAnsi="仿宋_GB2312" w:cs="仿宋_GB2312" w:eastAsiaTheme="minorEastAsia"/>
              </w:rPr>
              <w:t>56</w:t>
            </w:r>
          </w:p>
        </w:tc>
        <w:tc>
          <w:tcPr>
            <w:tcW w:w="2842" w:type="dxa"/>
            <w:vMerge w:val="continue"/>
            <w:tcBorders>
              <w:left w:val="single" w:color="F79646" w:sz="8" w:space="0"/>
              <w:bottom w:val="single" w:color="F79646" w:sz="8" w:space="0"/>
              <w:right w:val="single" w:color="F79646" w:sz="8" w:space="0"/>
            </w:tcBorders>
            <w:shd w:val="clear" w:color="auto" w:fill="FBD5B5"/>
            <w:vAlign w:val="center"/>
          </w:tcPr>
          <w:p>
            <w:pPr>
              <w:outlineLvl w:val="9"/>
              <w:rPr>
                <w:rFonts w:ascii="仿宋_GB2312" w:hAnsi="仿宋_GB2312" w:eastAsia="仿宋_GB2312" w:cs="仿宋_GB2312"/>
              </w:rPr>
            </w:pPr>
          </w:p>
        </w:tc>
        <w:tc>
          <w:tcPr>
            <w:tcW w:w="1138" w:type="dxa"/>
            <w:tcBorders>
              <w:left w:val="single" w:color="F79646" w:sz="8" w:space="0"/>
              <w:bottom w:val="single" w:color="F79646" w:sz="8" w:space="0"/>
              <w:right w:val="single" w:color="F79646" w:sz="8" w:space="0"/>
            </w:tcBorders>
            <w:shd w:val="clear" w:color="auto" w:fill="FBD5B5"/>
          </w:tcPr>
          <w:p>
            <w:pPr>
              <w:overflowPunct w:val="0"/>
              <w:autoSpaceDE w:val="0"/>
              <w:autoSpaceDN w:val="0"/>
              <w:adjustRightInd w:val="0"/>
              <w:snapToGrid w:val="0"/>
              <w:jc w:val="center"/>
              <w:textAlignment w:val="baseline"/>
              <w:outlineLvl w:val="9"/>
              <w:rPr>
                <w:rFonts w:hint="eastAsia" w:ascii="仿宋_GB2312" w:hAnsi="仿宋_GB2312"/>
              </w:rPr>
            </w:pPr>
          </w:p>
          <w:p>
            <w:pPr>
              <w:overflowPunct w:val="0"/>
              <w:autoSpaceDE w:val="0"/>
              <w:autoSpaceDN w:val="0"/>
              <w:adjustRightInd w:val="0"/>
              <w:snapToGrid w:val="0"/>
              <w:jc w:val="center"/>
              <w:textAlignment w:val="baseline"/>
              <w:outlineLvl w:val="9"/>
              <w:rPr>
                <w:rFonts w:hint="eastAsia" w:ascii="仿宋_GB2312" w:hAnsi="仿宋_GB2312"/>
              </w:rPr>
            </w:pPr>
            <w:r>
              <w:rPr>
                <w:rFonts w:hint="eastAsia" w:ascii="仿宋_GB2312" w:hAnsi="仿宋_GB2312"/>
              </w:rPr>
              <w:t>56000</w:t>
            </w:r>
          </w:p>
        </w:tc>
        <w:tc>
          <w:tcPr>
            <w:tcW w:w="1138" w:type="dxa"/>
            <w:tcBorders>
              <w:top w:val="single" w:color="F79646" w:sz="8" w:space="0"/>
              <w:left w:val="single" w:color="F79646" w:sz="8" w:space="0"/>
              <w:bottom w:val="single" w:color="F79646" w:sz="8" w:space="0"/>
              <w:right w:val="single" w:color="F79646" w:sz="8" w:space="0"/>
            </w:tcBorders>
            <w:shd w:val="clear" w:color="auto" w:fill="FBD5B5"/>
            <w:vAlign w:val="center"/>
          </w:tcPr>
          <w:p>
            <w:pPr>
              <w:tabs>
                <w:tab w:val="left" w:pos="900"/>
              </w:tabs>
              <w:snapToGrid w:val="0"/>
              <w:jc w:val="center"/>
              <w:outlineLvl w:val="9"/>
              <w:rPr>
                <w:rFonts w:hint="eastAsia" w:ascii="仿宋_GB2312" w:hAnsi="仿宋_GB2312" w:cs="仿宋_GB2312" w:eastAsiaTheme="minorEastAsia"/>
              </w:rPr>
            </w:pPr>
            <w:r>
              <w:rPr>
                <w:rFonts w:hint="eastAsia" w:ascii="仿宋_GB2312" w:hAnsi="仿宋_GB2312" w:cs="仿宋_GB2312" w:eastAsiaTheme="minorEastAsia"/>
              </w:rPr>
              <w:t>53500</w:t>
            </w:r>
            <w:r>
              <w:rPr>
                <w:rFonts w:hint="eastAsia" w:ascii="仿宋_GB2312" w:hAnsi="仿宋_GB2312" w:cs="仿宋_GB2312" w:eastAsiaTheme="minorEastAsia"/>
                <w:color w:val="FF0000"/>
              </w:rPr>
              <w:t>+7125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90" w:type="dxa"/>
            <w:vMerge w:val="restart"/>
            <w:tcBorders>
              <w:top w:val="single" w:color="F79646" w:sz="8" w:space="0"/>
              <w:left w:val="single" w:color="F79646" w:sz="8" w:space="0"/>
              <w:bottom w:val="single" w:color="F79646" w:sz="8" w:space="0"/>
              <w:right w:val="single" w:color="F79646" w:sz="8" w:space="0"/>
            </w:tcBorders>
            <w:shd w:val="clear" w:color="auto" w:fill="FFFFFF"/>
            <w:vAlign w:val="center"/>
          </w:tcPr>
          <w:p>
            <w:pPr>
              <w:tabs>
                <w:tab w:val="left" w:pos="900"/>
              </w:tabs>
              <w:snapToGrid w:val="0"/>
              <w:jc w:val="center"/>
              <w:outlineLvl w:val="9"/>
              <w:rPr>
                <w:rFonts w:ascii="仿宋_GB2312" w:hAnsi="仿宋_GB2312" w:eastAsia="仿宋_GB2312" w:cs="仿宋_GB2312"/>
              </w:rPr>
            </w:pPr>
            <w:r>
              <w:rPr>
                <w:rFonts w:hint="eastAsia" w:ascii="仿宋_GB2312" w:hAnsi="仿宋_GB2312" w:eastAsia="仿宋_GB2312" w:cs="仿宋_GB2312"/>
                <w:lang w:val="uk-UA"/>
              </w:rPr>
              <w:t>秋季</w:t>
            </w:r>
          </w:p>
        </w:tc>
        <w:tc>
          <w:tcPr>
            <w:tcW w:w="1072" w:type="dxa"/>
            <w:tcBorders>
              <w:top w:val="single" w:color="F79646" w:sz="8" w:space="0"/>
              <w:left w:val="single" w:color="F79646" w:sz="8" w:space="0"/>
              <w:bottom w:val="single" w:color="F79646" w:sz="8" w:space="0"/>
              <w:right w:val="single" w:color="F79646" w:sz="8" w:space="0"/>
            </w:tcBorders>
            <w:shd w:val="clear" w:color="auto" w:fill="FFFFFF"/>
            <w:vAlign w:val="center"/>
          </w:tcPr>
          <w:p>
            <w:pPr>
              <w:tabs>
                <w:tab w:val="left" w:pos="900"/>
              </w:tabs>
              <w:snapToGrid w:val="0"/>
              <w:jc w:val="center"/>
              <w:outlineLvl w:val="9"/>
              <w:rPr>
                <w:rFonts w:ascii="仿宋_GB2312" w:hAnsi="仿宋_GB2312" w:eastAsia="仿宋_GB2312" w:cs="仿宋_GB2312"/>
              </w:rPr>
            </w:pPr>
            <w:r>
              <w:rPr>
                <w:rFonts w:hint="eastAsia" w:ascii="仿宋_GB2312" w:hAnsi="仿宋_GB2312" w:eastAsia="仿宋_GB2312" w:cs="仿宋_GB2312"/>
              </w:rPr>
              <w:t>2020</w:t>
            </w:r>
            <w:r>
              <w:rPr>
                <w:rFonts w:hint="eastAsia" w:ascii="仿宋_GB2312" w:hAnsi="仿宋_GB2312" w:eastAsia="仿宋_GB2312" w:cs="仿宋_GB2312"/>
                <w:lang w:val="uk-UA"/>
              </w:rPr>
              <w:t>级</w:t>
            </w:r>
          </w:p>
        </w:tc>
        <w:tc>
          <w:tcPr>
            <w:tcW w:w="1496" w:type="dxa"/>
            <w:tcBorders>
              <w:top w:val="single" w:color="F79646" w:sz="8" w:space="0"/>
              <w:left w:val="single" w:color="F79646" w:sz="8" w:space="0"/>
              <w:bottom w:val="single" w:color="F79646" w:sz="8" w:space="0"/>
              <w:right w:val="single" w:color="F79646" w:sz="8" w:space="0"/>
            </w:tcBorders>
            <w:shd w:val="clear" w:color="auto" w:fill="FFFFFF"/>
            <w:vAlign w:val="center"/>
          </w:tcPr>
          <w:p>
            <w:pPr>
              <w:tabs>
                <w:tab w:val="left" w:pos="900"/>
              </w:tabs>
              <w:snapToGrid w:val="0"/>
              <w:jc w:val="center"/>
              <w:outlineLvl w:val="9"/>
              <w:rPr>
                <w:rFonts w:hint="eastAsia" w:ascii="仿宋_GB2312" w:hAnsi="仿宋_GB2312" w:cs="仿宋_GB2312" w:eastAsiaTheme="minorEastAsia"/>
              </w:rPr>
            </w:pPr>
            <w:r>
              <w:rPr>
                <w:rFonts w:hint="eastAsia" w:ascii="仿宋_GB2312" w:hAnsi="仿宋_GB2312" w:cs="仿宋_GB2312" w:eastAsiaTheme="minorEastAsia"/>
              </w:rPr>
              <w:t>21</w:t>
            </w:r>
          </w:p>
        </w:tc>
        <w:tc>
          <w:tcPr>
            <w:tcW w:w="2842" w:type="dxa"/>
            <w:vMerge w:val="restart"/>
            <w:tcBorders>
              <w:top w:val="single" w:color="FFFFFF" w:sz="18" w:space="0"/>
              <w:left w:val="single" w:color="F79646" w:sz="8" w:space="0"/>
              <w:right w:val="single" w:color="F79646" w:sz="8" w:space="0"/>
            </w:tcBorders>
            <w:shd w:val="clear" w:color="auto" w:fill="FBD5B5"/>
            <w:vAlign w:val="center"/>
          </w:tcPr>
          <w:p>
            <w:pPr>
              <w:ind w:firstLine="840" w:firstLineChars="400"/>
              <w:outlineLvl w:val="9"/>
              <w:rPr>
                <w:rFonts w:ascii="仿宋_GB2312" w:hAnsi="仿宋_GB2312" w:eastAsia="仿宋_GB2312" w:cs="仿宋_GB2312"/>
                <w:lang w:val="uk-UA"/>
              </w:rPr>
            </w:pPr>
            <w:r>
              <w:rPr>
                <w:rFonts w:hint="eastAsia" w:ascii="仿宋_GB2312" w:hAnsi="仿宋_GB2312" w:eastAsia="仿宋_GB2312" w:cs="仿宋_GB2312"/>
              </w:rPr>
              <w:t>1000</w:t>
            </w:r>
            <w:r>
              <w:rPr>
                <w:rFonts w:hint="eastAsia" w:ascii="仿宋_GB2312" w:hAnsi="仿宋_GB2312" w:eastAsia="仿宋_GB2312" w:cs="仿宋_GB2312"/>
                <w:lang w:val="uk-UA"/>
              </w:rPr>
              <w:t>元</w:t>
            </w:r>
            <w:r>
              <w:rPr>
                <w:rFonts w:hint="eastAsia" w:ascii="仿宋_GB2312" w:hAnsi="仿宋_GB2312" w:eastAsia="仿宋_GB2312" w:cs="仿宋_GB2312"/>
              </w:rPr>
              <w:t>/</w:t>
            </w:r>
            <w:r>
              <w:rPr>
                <w:rFonts w:hint="eastAsia" w:ascii="仿宋_GB2312" w:hAnsi="仿宋_GB2312" w:eastAsia="仿宋_GB2312" w:cs="仿宋_GB2312"/>
                <w:lang w:val="uk-UA"/>
              </w:rPr>
              <w:t>学期</w:t>
            </w:r>
            <w:r>
              <w:rPr>
                <w:rFonts w:hint="eastAsia" w:ascii="仿宋_GB2312" w:hAnsi="仿宋_GB2312" w:eastAsia="仿宋_GB2312" w:cs="仿宋_GB2312"/>
              </w:rPr>
              <w:t>/</w:t>
            </w:r>
            <w:r>
              <w:rPr>
                <w:rFonts w:hint="eastAsia" w:ascii="仿宋_GB2312" w:hAnsi="仿宋_GB2312" w:eastAsia="仿宋_GB2312" w:cs="仿宋_GB2312"/>
                <w:lang w:val="uk-UA"/>
              </w:rPr>
              <w:t>人</w:t>
            </w:r>
          </w:p>
          <w:p>
            <w:pPr>
              <w:outlineLvl w:val="9"/>
              <w:rPr>
                <w:rFonts w:ascii="仿宋_GB2312" w:hAnsi="仿宋_GB2312" w:eastAsia="仿宋_GB2312" w:cs="仿宋_GB2312"/>
              </w:rPr>
            </w:pPr>
          </w:p>
        </w:tc>
        <w:tc>
          <w:tcPr>
            <w:tcW w:w="1138" w:type="dxa"/>
            <w:tcBorders>
              <w:top w:val="single" w:color="F79646" w:sz="8" w:space="0"/>
              <w:left w:val="single" w:color="F79646" w:sz="8" w:space="0"/>
              <w:right w:val="single" w:color="F79646" w:sz="8" w:space="0"/>
            </w:tcBorders>
            <w:shd w:val="clear" w:color="auto" w:fill="FFFFFF"/>
          </w:tcPr>
          <w:p>
            <w:pPr>
              <w:overflowPunct w:val="0"/>
              <w:autoSpaceDE w:val="0"/>
              <w:autoSpaceDN w:val="0"/>
              <w:adjustRightInd w:val="0"/>
              <w:snapToGrid w:val="0"/>
              <w:jc w:val="center"/>
              <w:textAlignment w:val="baseline"/>
              <w:outlineLvl w:val="9"/>
              <w:rPr>
                <w:rFonts w:hint="eastAsia" w:ascii="仿宋_GB2312" w:hAnsi="仿宋_GB2312"/>
              </w:rPr>
            </w:pPr>
          </w:p>
          <w:p>
            <w:pPr>
              <w:overflowPunct w:val="0"/>
              <w:autoSpaceDE w:val="0"/>
              <w:autoSpaceDN w:val="0"/>
              <w:adjustRightInd w:val="0"/>
              <w:snapToGrid w:val="0"/>
              <w:jc w:val="center"/>
              <w:textAlignment w:val="baseline"/>
              <w:outlineLvl w:val="9"/>
              <w:rPr>
                <w:rFonts w:hint="eastAsia" w:ascii="仿宋_GB2312" w:hAnsi="仿宋_GB2312"/>
              </w:rPr>
            </w:pPr>
            <w:r>
              <w:rPr>
                <w:rFonts w:hint="eastAsia" w:ascii="仿宋_GB2312" w:hAnsi="仿宋_GB2312"/>
              </w:rPr>
              <w:t>21000</w:t>
            </w:r>
          </w:p>
        </w:tc>
        <w:tc>
          <w:tcPr>
            <w:tcW w:w="1138" w:type="dxa"/>
            <w:tcBorders>
              <w:top w:val="single" w:color="F79646" w:sz="8" w:space="0"/>
              <w:left w:val="single" w:color="F79646" w:sz="8" w:space="0"/>
              <w:bottom w:val="single" w:color="F79646" w:sz="8" w:space="0"/>
              <w:right w:val="single" w:color="F79646" w:sz="8" w:space="0"/>
            </w:tcBorders>
            <w:shd w:val="clear" w:color="auto" w:fill="FFFFFF"/>
            <w:vAlign w:val="center"/>
          </w:tcPr>
          <w:p>
            <w:pPr>
              <w:tabs>
                <w:tab w:val="left" w:pos="900"/>
              </w:tabs>
              <w:snapToGrid w:val="0"/>
              <w:jc w:val="center"/>
              <w:outlineLvl w:val="9"/>
              <w:rPr>
                <w:rFonts w:hint="eastAsia" w:ascii="仿宋_GB2312" w:hAnsi="仿宋_GB2312" w:cs="仿宋_GB2312" w:eastAsiaTheme="minorEastAsia"/>
              </w:rPr>
            </w:pPr>
            <w:r>
              <w:rPr>
                <w:rFonts w:hint="eastAsia" w:ascii="仿宋_GB2312" w:hAnsi="仿宋_GB2312" w:cs="仿宋_GB2312" w:eastAsiaTheme="minorEastAsia"/>
              </w:rPr>
              <w:t>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790" w:type="dxa"/>
            <w:vMerge w:val="continue"/>
            <w:tcBorders>
              <w:top w:val="single" w:color="F79646" w:sz="8" w:space="0"/>
              <w:left w:val="single" w:color="F79646" w:sz="8" w:space="0"/>
              <w:bottom w:val="single" w:color="F79646" w:sz="8" w:space="0"/>
              <w:right w:val="single" w:color="F79646" w:sz="8" w:space="0"/>
            </w:tcBorders>
            <w:shd w:val="clear" w:color="auto" w:fill="auto"/>
            <w:vAlign w:val="center"/>
          </w:tcPr>
          <w:p>
            <w:pPr>
              <w:outlineLvl w:val="9"/>
              <w:rPr>
                <w:rFonts w:ascii="仿宋_GB2312" w:hAnsi="仿宋_GB2312" w:eastAsia="仿宋_GB2312" w:cs="仿宋_GB2312"/>
              </w:rPr>
            </w:pPr>
          </w:p>
        </w:tc>
        <w:tc>
          <w:tcPr>
            <w:tcW w:w="1072" w:type="dxa"/>
            <w:tcBorders>
              <w:top w:val="single" w:color="F79646" w:sz="8" w:space="0"/>
              <w:left w:val="single" w:color="F79646" w:sz="8" w:space="0"/>
              <w:bottom w:val="single" w:color="F79646" w:sz="8" w:space="0"/>
              <w:right w:val="single" w:color="F79646" w:sz="8" w:space="0"/>
            </w:tcBorders>
            <w:shd w:val="clear" w:color="auto" w:fill="FBD5B5"/>
            <w:vAlign w:val="center"/>
          </w:tcPr>
          <w:p>
            <w:pPr>
              <w:tabs>
                <w:tab w:val="left" w:pos="900"/>
              </w:tabs>
              <w:snapToGrid w:val="0"/>
              <w:jc w:val="center"/>
              <w:outlineLvl w:val="9"/>
              <w:rPr>
                <w:rFonts w:ascii="仿宋_GB2312" w:hAnsi="仿宋_GB2312" w:eastAsia="仿宋_GB2312" w:cs="仿宋_GB2312"/>
              </w:rPr>
            </w:pPr>
            <w:r>
              <w:rPr>
                <w:rFonts w:hint="eastAsia" w:ascii="仿宋_GB2312" w:hAnsi="仿宋_GB2312" w:eastAsia="仿宋_GB2312" w:cs="仿宋_GB2312"/>
              </w:rPr>
              <w:t>20</w:t>
            </w:r>
            <w:r>
              <w:rPr>
                <w:rFonts w:hint="eastAsia" w:ascii="仿宋_GB2312" w:hAnsi="仿宋_GB2312" w:cs="仿宋_GB2312" w:eastAsiaTheme="minorEastAsia"/>
              </w:rPr>
              <w:t>21</w:t>
            </w:r>
            <w:r>
              <w:rPr>
                <w:rFonts w:hint="eastAsia" w:ascii="仿宋_GB2312" w:hAnsi="仿宋_GB2312" w:eastAsia="仿宋_GB2312" w:cs="仿宋_GB2312"/>
                <w:lang w:val="uk-UA"/>
              </w:rPr>
              <w:t>级</w:t>
            </w:r>
          </w:p>
        </w:tc>
        <w:tc>
          <w:tcPr>
            <w:tcW w:w="1496" w:type="dxa"/>
            <w:tcBorders>
              <w:top w:val="single" w:color="F79646" w:sz="8" w:space="0"/>
              <w:left w:val="single" w:color="F79646" w:sz="8" w:space="0"/>
              <w:bottom w:val="single" w:color="F79646" w:sz="8" w:space="0"/>
              <w:right w:val="single" w:color="F79646" w:sz="8" w:space="0"/>
            </w:tcBorders>
            <w:shd w:val="clear" w:color="auto" w:fill="FBD5B5"/>
            <w:vAlign w:val="center"/>
          </w:tcPr>
          <w:p>
            <w:pPr>
              <w:tabs>
                <w:tab w:val="left" w:pos="900"/>
              </w:tabs>
              <w:snapToGrid w:val="0"/>
              <w:jc w:val="center"/>
              <w:outlineLvl w:val="9"/>
              <w:rPr>
                <w:rFonts w:hint="eastAsia" w:ascii="仿宋_GB2312" w:hAnsi="仿宋_GB2312" w:cs="仿宋_GB2312" w:eastAsiaTheme="minorEastAsia"/>
              </w:rPr>
            </w:pPr>
            <w:r>
              <w:rPr>
                <w:rFonts w:hint="eastAsia" w:ascii="仿宋_GB2312" w:hAnsi="仿宋_GB2312" w:cs="仿宋_GB2312" w:eastAsiaTheme="minorEastAsia"/>
              </w:rPr>
              <w:t>32</w:t>
            </w:r>
          </w:p>
        </w:tc>
        <w:tc>
          <w:tcPr>
            <w:tcW w:w="2842" w:type="dxa"/>
            <w:vMerge w:val="continue"/>
            <w:tcBorders>
              <w:left w:val="single" w:color="F79646" w:sz="8" w:space="0"/>
              <w:right w:val="single" w:color="F79646" w:sz="8" w:space="0"/>
            </w:tcBorders>
            <w:shd w:val="clear" w:color="auto" w:fill="FBD5B5"/>
            <w:vAlign w:val="center"/>
          </w:tcPr>
          <w:p>
            <w:pPr>
              <w:outlineLvl w:val="9"/>
              <w:rPr>
                <w:rFonts w:ascii="仿宋_GB2312" w:hAnsi="仿宋_GB2312" w:eastAsia="仿宋_GB2312" w:cs="仿宋_GB2312"/>
              </w:rPr>
            </w:pPr>
          </w:p>
        </w:tc>
        <w:tc>
          <w:tcPr>
            <w:tcW w:w="1138" w:type="dxa"/>
            <w:tcBorders>
              <w:left w:val="single" w:color="F79646" w:sz="8" w:space="0"/>
              <w:right w:val="single" w:color="F79646" w:sz="8" w:space="0"/>
            </w:tcBorders>
            <w:shd w:val="clear" w:color="auto" w:fill="FBD5B5"/>
          </w:tcPr>
          <w:p>
            <w:pPr>
              <w:overflowPunct w:val="0"/>
              <w:autoSpaceDE w:val="0"/>
              <w:autoSpaceDN w:val="0"/>
              <w:adjustRightInd w:val="0"/>
              <w:snapToGrid w:val="0"/>
              <w:jc w:val="center"/>
              <w:textAlignment w:val="baseline"/>
              <w:outlineLvl w:val="9"/>
              <w:rPr>
                <w:rFonts w:hint="eastAsia" w:ascii="仿宋_GB2312" w:hAnsi="仿宋_GB2312"/>
              </w:rPr>
            </w:pPr>
          </w:p>
          <w:p>
            <w:pPr>
              <w:overflowPunct w:val="0"/>
              <w:autoSpaceDE w:val="0"/>
              <w:autoSpaceDN w:val="0"/>
              <w:adjustRightInd w:val="0"/>
              <w:snapToGrid w:val="0"/>
              <w:jc w:val="center"/>
              <w:textAlignment w:val="baseline"/>
              <w:outlineLvl w:val="9"/>
              <w:rPr>
                <w:rFonts w:hint="eastAsia" w:ascii="仿宋_GB2312" w:hAnsi="仿宋_GB2312"/>
              </w:rPr>
            </w:pPr>
            <w:r>
              <w:rPr>
                <w:rFonts w:hint="eastAsia" w:ascii="仿宋_GB2312" w:hAnsi="仿宋_GB2312"/>
              </w:rPr>
              <w:t>32000</w:t>
            </w:r>
          </w:p>
        </w:tc>
        <w:tc>
          <w:tcPr>
            <w:tcW w:w="1138" w:type="dxa"/>
            <w:tcBorders>
              <w:top w:val="single" w:color="F79646" w:sz="8" w:space="0"/>
              <w:left w:val="single" w:color="F79646" w:sz="8" w:space="0"/>
              <w:bottom w:val="single" w:color="F79646" w:sz="8" w:space="0"/>
              <w:right w:val="single" w:color="F79646" w:sz="8" w:space="0"/>
            </w:tcBorders>
            <w:shd w:val="clear" w:color="auto" w:fill="FBD5B5"/>
            <w:vAlign w:val="center"/>
          </w:tcPr>
          <w:p>
            <w:pPr>
              <w:tabs>
                <w:tab w:val="left" w:pos="900"/>
              </w:tabs>
              <w:snapToGrid w:val="0"/>
              <w:jc w:val="center"/>
              <w:outlineLvl w:val="9"/>
              <w:rPr>
                <w:rFonts w:ascii="仿宋_GB2312" w:hAnsi="仿宋_GB2312" w:cs="仿宋_GB2312" w:eastAsiaTheme="minorEastAsia"/>
              </w:rPr>
            </w:pPr>
            <w:r>
              <w:rPr>
                <w:rFonts w:hint="eastAsia" w:ascii="仿宋_GB2312" w:hAnsi="仿宋_GB2312" w:cs="仿宋_GB2312" w:eastAsiaTheme="minorEastAsia"/>
              </w:rPr>
              <w:t>32000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90" w:type="dxa"/>
            <w:vMerge w:val="continue"/>
            <w:tcBorders>
              <w:top w:val="single" w:color="F79646" w:sz="8" w:space="0"/>
              <w:left w:val="single" w:color="F79646" w:sz="8" w:space="0"/>
              <w:bottom w:val="single" w:color="F79646" w:sz="8" w:space="0"/>
              <w:right w:val="single" w:color="F79646" w:sz="8" w:space="0"/>
            </w:tcBorders>
            <w:shd w:val="clear" w:color="auto" w:fill="auto"/>
            <w:vAlign w:val="center"/>
          </w:tcPr>
          <w:p>
            <w:pPr>
              <w:outlineLvl w:val="9"/>
              <w:rPr>
                <w:rFonts w:ascii="仿宋_GB2312" w:hAnsi="仿宋_GB2312" w:eastAsia="仿宋_GB2312" w:cs="仿宋_GB2312"/>
              </w:rPr>
            </w:pPr>
          </w:p>
        </w:tc>
        <w:tc>
          <w:tcPr>
            <w:tcW w:w="1072" w:type="dxa"/>
            <w:tcBorders>
              <w:top w:val="single" w:color="F79646" w:sz="8" w:space="0"/>
              <w:left w:val="single" w:color="F79646" w:sz="8" w:space="0"/>
              <w:bottom w:val="single" w:color="F79646" w:sz="8" w:space="0"/>
              <w:right w:val="single" w:color="F79646" w:sz="8" w:space="0"/>
            </w:tcBorders>
            <w:shd w:val="clear" w:color="auto" w:fill="FFFFFF"/>
            <w:vAlign w:val="center"/>
          </w:tcPr>
          <w:p>
            <w:pPr>
              <w:tabs>
                <w:tab w:val="left" w:pos="900"/>
              </w:tabs>
              <w:snapToGrid w:val="0"/>
              <w:jc w:val="center"/>
              <w:outlineLvl w:val="9"/>
              <w:rPr>
                <w:rFonts w:ascii="仿宋_GB2312" w:hAnsi="仿宋_GB2312" w:eastAsia="仿宋_GB2312" w:cs="仿宋_GB2312"/>
              </w:rPr>
            </w:pPr>
            <w:r>
              <w:rPr>
                <w:rFonts w:hint="eastAsia" w:ascii="仿宋_GB2312" w:hAnsi="仿宋_GB2312" w:eastAsia="仿宋_GB2312" w:cs="仿宋_GB2312"/>
                <w:lang w:val="uk-UA"/>
              </w:rPr>
              <w:t>小计</w:t>
            </w:r>
          </w:p>
        </w:tc>
        <w:tc>
          <w:tcPr>
            <w:tcW w:w="1496" w:type="dxa"/>
            <w:tcBorders>
              <w:top w:val="single" w:color="F79646" w:sz="8" w:space="0"/>
              <w:left w:val="single" w:color="F79646" w:sz="8" w:space="0"/>
              <w:bottom w:val="single" w:color="F79646" w:sz="8" w:space="0"/>
              <w:right w:val="single" w:color="F79646" w:sz="8" w:space="0"/>
            </w:tcBorders>
            <w:shd w:val="clear" w:color="auto" w:fill="FFFFFF"/>
            <w:vAlign w:val="center"/>
          </w:tcPr>
          <w:p>
            <w:pPr>
              <w:tabs>
                <w:tab w:val="left" w:pos="900"/>
              </w:tabs>
              <w:snapToGrid w:val="0"/>
              <w:jc w:val="center"/>
              <w:outlineLvl w:val="9"/>
              <w:rPr>
                <w:rFonts w:hint="eastAsia" w:ascii="仿宋_GB2312" w:hAnsi="仿宋_GB2312" w:cs="仿宋_GB2312" w:eastAsiaTheme="minorEastAsia"/>
              </w:rPr>
            </w:pPr>
            <w:r>
              <w:rPr>
                <w:rFonts w:hint="eastAsia" w:ascii="仿宋_GB2312" w:hAnsi="仿宋_GB2312" w:eastAsia="仿宋_GB2312" w:cs="仿宋_GB2312"/>
              </w:rPr>
              <w:t>5</w:t>
            </w:r>
            <w:r>
              <w:rPr>
                <w:rFonts w:hint="eastAsia" w:ascii="仿宋_GB2312" w:hAnsi="仿宋_GB2312" w:cs="仿宋_GB2312" w:eastAsiaTheme="minorEastAsia"/>
              </w:rPr>
              <w:t>3</w:t>
            </w:r>
          </w:p>
        </w:tc>
        <w:tc>
          <w:tcPr>
            <w:tcW w:w="2842" w:type="dxa"/>
            <w:vMerge w:val="continue"/>
            <w:tcBorders>
              <w:left w:val="single" w:color="F79646" w:sz="8" w:space="0"/>
              <w:right w:val="single" w:color="F79646" w:sz="8" w:space="0"/>
            </w:tcBorders>
            <w:shd w:val="clear" w:color="auto" w:fill="FBD5B5"/>
            <w:vAlign w:val="center"/>
          </w:tcPr>
          <w:p>
            <w:pPr>
              <w:outlineLvl w:val="9"/>
              <w:rPr>
                <w:rFonts w:ascii="仿宋_GB2312" w:hAnsi="仿宋_GB2312" w:eastAsia="仿宋_GB2312" w:cs="仿宋_GB2312"/>
              </w:rPr>
            </w:pPr>
          </w:p>
        </w:tc>
        <w:tc>
          <w:tcPr>
            <w:tcW w:w="1138" w:type="dxa"/>
            <w:tcBorders>
              <w:left w:val="single" w:color="F79646" w:sz="8" w:space="0"/>
              <w:right w:val="single" w:color="F79646" w:sz="8" w:space="0"/>
            </w:tcBorders>
            <w:shd w:val="clear" w:color="auto" w:fill="FFFFFF"/>
          </w:tcPr>
          <w:p>
            <w:pPr>
              <w:overflowPunct w:val="0"/>
              <w:autoSpaceDE w:val="0"/>
              <w:autoSpaceDN w:val="0"/>
              <w:adjustRightInd w:val="0"/>
              <w:snapToGrid w:val="0"/>
              <w:jc w:val="center"/>
              <w:textAlignment w:val="baseline"/>
              <w:outlineLvl w:val="9"/>
              <w:rPr>
                <w:rFonts w:hint="eastAsia" w:ascii="仿宋_GB2312" w:hAnsi="仿宋_GB2312"/>
              </w:rPr>
            </w:pPr>
          </w:p>
          <w:p>
            <w:pPr>
              <w:overflowPunct w:val="0"/>
              <w:autoSpaceDE w:val="0"/>
              <w:autoSpaceDN w:val="0"/>
              <w:adjustRightInd w:val="0"/>
              <w:snapToGrid w:val="0"/>
              <w:jc w:val="center"/>
              <w:textAlignment w:val="baseline"/>
              <w:outlineLvl w:val="9"/>
              <w:rPr>
                <w:rFonts w:hint="eastAsia" w:ascii="仿宋_GB2312" w:hAnsi="仿宋_GB2312"/>
              </w:rPr>
            </w:pPr>
            <w:r>
              <w:rPr>
                <w:rFonts w:hint="eastAsia" w:ascii="仿宋_GB2312" w:hAnsi="仿宋_GB2312"/>
              </w:rPr>
              <w:t>53000</w:t>
            </w:r>
          </w:p>
        </w:tc>
        <w:tc>
          <w:tcPr>
            <w:tcW w:w="1138" w:type="dxa"/>
            <w:tcBorders>
              <w:top w:val="single" w:color="F79646" w:sz="8" w:space="0"/>
              <w:left w:val="single" w:color="F79646" w:sz="8" w:space="0"/>
              <w:bottom w:val="single" w:color="F79646" w:sz="8" w:space="0"/>
              <w:right w:val="single" w:color="F79646" w:sz="8" w:space="0"/>
            </w:tcBorders>
            <w:shd w:val="clear" w:color="auto" w:fill="FFFFFF"/>
            <w:vAlign w:val="center"/>
          </w:tcPr>
          <w:p>
            <w:pPr>
              <w:tabs>
                <w:tab w:val="left" w:pos="900"/>
              </w:tabs>
              <w:snapToGrid w:val="0"/>
              <w:jc w:val="center"/>
              <w:outlineLvl w:val="9"/>
              <w:rPr>
                <w:rFonts w:hint="eastAsia" w:ascii="仿宋_GB2312" w:hAnsi="仿宋_GB2312" w:cs="仿宋_GB2312" w:eastAsiaTheme="minorEastAsia"/>
              </w:rPr>
            </w:pPr>
            <w:r>
              <w:rPr>
                <w:rFonts w:hint="eastAsia" w:ascii="仿宋_GB2312" w:hAnsi="仿宋_GB2312" w:cs="仿宋_GB2312" w:eastAsiaTheme="minorEastAsia"/>
              </w:rPr>
              <w:t>53000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862" w:type="dxa"/>
            <w:gridSpan w:val="2"/>
            <w:tcBorders>
              <w:top w:val="single" w:color="F79646" w:sz="8" w:space="0"/>
              <w:left w:val="single" w:color="F79646" w:sz="8" w:space="0"/>
              <w:bottom w:val="single" w:color="F79646" w:sz="8" w:space="0"/>
              <w:right w:val="single" w:color="F79646" w:sz="8" w:space="0"/>
            </w:tcBorders>
            <w:shd w:val="clear" w:color="auto" w:fill="FBD5B5"/>
            <w:vAlign w:val="center"/>
          </w:tcPr>
          <w:p>
            <w:pPr>
              <w:tabs>
                <w:tab w:val="left" w:pos="900"/>
              </w:tabs>
              <w:snapToGrid w:val="0"/>
              <w:jc w:val="center"/>
              <w:outlineLvl w:val="9"/>
              <w:rPr>
                <w:rFonts w:ascii="仿宋_GB2312" w:hAnsi="仿宋_GB2312" w:eastAsia="仿宋_GB2312" w:cs="仿宋_GB2312"/>
              </w:rPr>
            </w:pPr>
            <w:r>
              <w:rPr>
                <w:rFonts w:hint="eastAsia" w:ascii="仿宋_GB2312" w:hAnsi="仿宋_GB2312" w:eastAsia="仿宋_GB2312" w:cs="仿宋_GB2312"/>
                <w:lang w:val="uk-UA"/>
              </w:rPr>
              <w:t>合</w:t>
            </w:r>
            <w:r>
              <w:rPr>
                <w:rFonts w:hint="eastAsia" w:ascii="仿宋_GB2312" w:hAnsi="仿宋_GB2312" w:eastAsia="仿宋_GB2312" w:cs="仿宋_GB2312"/>
              </w:rPr>
              <w:t xml:space="preserve">  </w:t>
            </w:r>
            <w:r>
              <w:rPr>
                <w:rFonts w:hint="eastAsia" w:ascii="仿宋_GB2312" w:hAnsi="仿宋_GB2312" w:eastAsia="仿宋_GB2312" w:cs="仿宋_GB2312"/>
                <w:lang w:val="uk-UA"/>
              </w:rPr>
              <w:t>计</w:t>
            </w:r>
          </w:p>
        </w:tc>
        <w:tc>
          <w:tcPr>
            <w:tcW w:w="1496" w:type="dxa"/>
            <w:tcBorders>
              <w:top w:val="single" w:color="F79646" w:sz="8" w:space="0"/>
              <w:left w:val="single" w:color="F79646" w:sz="8" w:space="0"/>
              <w:bottom w:val="single" w:color="F79646" w:sz="8" w:space="0"/>
              <w:right w:val="single" w:color="F79646" w:sz="8" w:space="0"/>
            </w:tcBorders>
            <w:shd w:val="clear" w:color="auto" w:fill="FBD5B5"/>
            <w:vAlign w:val="center"/>
          </w:tcPr>
          <w:p>
            <w:pPr>
              <w:tabs>
                <w:tab w:val="left" w:pos="900"/>
              </w:tabs>
              <w:snapToGrid w:val="0"/>
              <w:jc w:val="center"/>
              <w:outlineLvl w:val="9"/>
              <w:rPr>
                <w:rFonts w:hint="eastAsia" w:ascii="仿宋_GB2312" w:hAnsi="仿宋_GB2312" w:cs="仿宋_GB2312" w:eastAsiaTheme="minorEastAsia"/>
              </w:rPr>
            </w:pPr>
            <w:r>
              <w:rPr>
                <w:rFonts w:hint="eastAsia" w:ascii="仿宋_GB2312" w:hAnsi="仿宋_GB2312" w:cs="仿宋_GB2312" w:eastAsiaTheme="minorEastAsia"/>
              </w:rPr>
              <w:t>109</w:t>
            </w:r>
          </w:p>
        </w:tc>
        <w:tc>
          <w:tcPr>
            <w:tcW w:w="2842" w:type="dxa"/>
            <w:vMerge w:val="continue"/>
            <w:tcBorders>
              <w:left w:val="single" w:color="F79646" w:sz="8" w:space="0"/>
              <w:bottom w:val="single" w:color="F79646" w:sz="8" w:space="0"/>
              <w:right w:val="single" w:color="F79646" w:sz="8" w:space="0"/>
            </w:tcBorders>
            <w:shd w:val="clear" w:color="auto" w:fill="FBD5B5"/>
            <w:vAlign w:val="center"/>
          </w:tcPr>
          <w:p>
            <w:pPr>
              <w:outlineLvl w:val="9"/>
              <w:rPr>
                <w:rFonts w:ascii="仿宋_GB2312" w:hAnsi="仿宋_GB2312" w:eastAsia="仿宋_GB2312" w:cs="仿宋_GB2312"/>
              </w:rPr>
            </w:pPr>
          </w:p>
        </w:tc>
        <w:tc>
          <w:tcPr>
            <w:tcW w:w="1138" w:type="dxa"/>
            <w:tcBorders>
              <w:left w:val="single" w:color="F79646" w:sz="8" w:space="0"/>
              <w:bottom w:val="single" w:color="F79646" w:sz="8" w:space="0"/>
              <w:right w:val="single" w:color="F79646" w:sz="8" w:space="0"/>
            </w:tcBorders>
            <w:shd w:val="clear" w:color="auto" w:fill="FBD5B5"/>
          </w:tcPr>
          <w:p>
            <w:pPr>
              <w:overflowPunct w:val="0"/>
              <w:autoSpaceDE w:val="0"/>
              <w:autoSpaceDN w:val="0"/>
              <w:adjustRightInd w:val="0"/>
              <w:snapToGrid w:val="0"/>
              <w:jc w:val="center"/>
              <w:textAlignment w:val="baseline"/>
              <w:outlineLvl w:val="9"/>
              <w:rPr>
                <w:rFonts w:hint="eastAsia" w:ascii="仿宋_GB2312" w:hAnsi="仿宋_GB2312"/>
              </w:rPr>
            </w:pPr>
          </w:p>
          <w:p>
            <w:pPr>
              <w:overflowPunct w:val="0"/>
              <w:autoSpaceDE w:val="0"/>
              <w:autoSpaceDN w:val="0"/>
              <w:adjustRightInd w:val="0"/>
              <w:snapToGrid w:val="0"/>
              <w:jc w:val="center"/>
              <w:textAlignment w:val="baseline"/>
              <w:outlineLvl w:val="9"/>
              <w:rPr>
                <w:rFonts w:hint="eastAsia" w:ascii="仿宋_GB2312" w:hAnsi="仿宋_GB2312"/>
              </w:rPr>
            </w:pPr>
            <w:r>
              <w:rPr>
                <w:rFonts w:hint="eastAsia" w:ascii="仿宋_GB2312" w:hAnsi="仿宋_GB2312"/>
              </w:rPr>
              <w:t>109000</w:t>
            </w:r>
          </w:p>
        </w:tc>
        <w:tc>
          <w:tcPr>
            <w:tcW w:w="1138" w:type="dxa"/>
            <w:tcBorders>
              <w:top w:val="single" w:color="F79646" w:sz="8" w:space="0"/>
              <w:left w:val="single" w:color="F79646" w:sz="8" w:space="0"/>
              <w:bottom w:val="single" w:color="F79646" w:sz="8" w:space="0"/>
              <w:right w:val="single" w:color="F79646" w:sz="8" w:space="0"/>
            </w:tcBorders>
            <w:shd w:val="clear" w:color="auto" w:fill="FBD5B5"/>
            <w:vAlign w:val="center"/>
          </w:tcPr>
          <w:p>
            <w:pPr>
              <w:tabs>
                <w:tab w:val="left" w:pos="900"/>
              </w:tabs>
              <w:snapToGrid w:val="0"/>
              <w:jc w:val="center"/>
              <w:outlineLvl w:val="9"/>
              <w:rPr>
                <w:rFonts w:hint="eastAsia" w:ascii="仿宋_GB2312" w:hAnsi="仿宋_GB2312" w:cs="仿宋_GB2312" w:eastAsiaTheme="minorEastAsia"/>
              </w:rPr>
            </w:pPr>
            <w:r>
              <w:rPr>
                <w:rFonts w:hint="eastAsia" w:ascii="仿宋_GB2312" w:hAnsi="仿宋_GB2312" w:cs="仿宋_GB2312" w:eastAsiaTheme="minorEastAsia"/>
              </w:rPr>
              <w:t>113625</w:t>
            </w:r>
          </w:p>
        </w:tc>
      </w:tr>
    </w:tbl>
    <w:p>
      <w:pPr>
        <w:tabs>
          <w:tab w:val="left" w:pos="900"/>
        </w:tabs>
        <w:snapToGrid w:val="0"/>
        <w:spacing w:line="360" w:lineRule="auto"/>
        <w:jc w:val="both"/>
        <w:outlineLvl w:val="9"/>
        <w:rPr>
          <w:rFonts w:hint="eastAsia" w:ascii="仿宋_GB2312" w:hAnsi="仿宋_GB2312" w:cs="仿宋_GB2312" w:eastAsiaTheme="minorEastAsia"/>
          <w:b/>
          <w:bCs/>
          <w:sz w:val="28"/>
          <w:szCs w:val="28"/>
        </w:rPr>
      </w:pPr>
    </w:p>
    <w:p>
      <w:pPr>
        <w:tabs>
          <w:tab w:val="left" w:pos="900"/>
        </w:tabs>
        <w:snapToGrid w:val="0"/>
        <w:spacing w:line="360" w:lineRule="auto"/>
        <w:jc w:val="center"/>
        <w:outlineLvl w:val="9"/>
        <w:rPr>
          <w:rFonts w:hint="eastAsia" w:ascii="仿宋_GB2312" w:hAnsi="仿宋_GB2312" w:eastAsia="仿宋_GB2312" w:cs="仿宋_GB2312"/>
          <w:b/>
          <w:bCs/>
          <w:sz w:val="28"/>
          <w:szCs w:val="28"/>
        </w:rPr>
      </w:pPr>
    </w:p>
    <w:p>
      <w:pPr>
        <w:tabs>
          <w:tab w:val="left" w:pos="900"/>
        </w:tabs>
        <w:snapToGrid w:val="0"/>
        <w:spacing w:line="360" w:lineRule="auto"/>
        <w:jc w:val="center"/>
        <w:outlineLvl w:val="9"/>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202</w:t>
      </w:r>
      <w:r>
        <w:rPr>
          <w:rFonts w:hint="eastAsia" w:ascii="仿宋_GB2312" w:hAnsi="仿宋_GB2312" w:cs="仿宋_GB2312" w:eastAsiaTheme="minorEastAsia"/>
          <w:b/>
          <w:bCs/>
          <w:sz w:val="28"/>
          <w:szCs w:val="28"/>
        </w:rPr>
        <w:t>1</w:t>
      </w:r>
      <w:r>
        <w:rPr>
          <w:rFonts w:hint="eastAsia" w:ascii="仿宋_GB2312" w:hAnsi="仿宋_GB2312" w:eastAsia="仿宋_GB2312" w:cs="仿宋_GB2312"/>
          <w:b/>
          <w:bCs/>
          <w:sz w:val="28"/>
          <w:szCs w:val="28"/>
          <w:lang w:val="uk-UA"/>
        </w:rPr>
        <w:t>年国家奖学金发放情况统计表</w:t>
      </w:r>
    </w:p>
    <w:tbl>
      <w:tblPr>
        <w:tblStyle w:val="14"/>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2139"/>
        <w:gridCol w:w="2140"/>
        <w:gridCol w:w="2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890" w:type="dxa"/>
            <w:tcBorders>
              <w:top w:val="single" w:color="F79646" w:sz="8" w:space="0"/>
              <w:left w:val="single" w:color="F79646" w:sz="8" w:space="0"/>
              <w:bottom w:val="single" w:color="FFFFFF" w:sz="18" w:space="0"/>
              <w:right w:val="single" w:color="F79646" w:sz="8" w:space="0"/>
            </w:tcBorders>
            <w:shd w:val="clear" w:color="auto" w:fill="F79646"/>
            <w:vAlign w:val="center"/>
          </w:tcPr>
          <w:p>
            <w:pPr>
              <w:tabs>
                <w:tab w:val="left" w:pos="900"/>
              </w:tabs>
              <w:snapToGrid w:val="0"/>
              <w:jc w:val="center"/>
              <w:outlineLvl w:val="9"/>
              <w:rPr>
                <w:rFonts w:ascii="仿宋_GB2312" w:hAnsi="仿宋_GB2312" w:eastAsia="仿宋_GB2312" w:cs="仿宋_GB2312"/>
              </w:rPr>
            </w:pPr>
            <w:r>
              <w:rPr>
                <w:rFonts w:hint="eastAsia" w:ascii="仿宋_GB2312" w:hAnsi="仿宋_GB2312" w:eastAsia="仿宋_GB2312" w:cs="仿宋_GB2312"/>
                <w:lang w:val="uk-UA"/>
              </w:rPr>
              <w:t>年级</w:t>
            </w:r>
          </w:p>
        </w:tc>
        <w:tc>
          <w:tcPr>
            <w:tcW w:w="2139" w:type="dxa"/>
            <w:tcBorders>
              <w:top w:val="single" w:color="F79646" w:sz="8" w:space="0"/>
              <w:left w:val="single" w:color="F79646" w:sz="8" w:space="0"/>
              <w:bottom w:val="single" w:color="FFFFFF" w:sz="18" w:space="0"/>
              <w:right w:val="single" w:color="F79646" w:sz="8" w:space="0"/>
            </w:tcBorders>
            <w:shd w:val="clear" w:color="auto" w:fill="F79646"/>
            <w:vAlign w:val="center"/>
          </w:tcPr>
          <w:p>
            <w:pPr>
              <w:tabs>
                <w:tab w:val="left" w:pos="900"/>
              </w:tabs>
              <w:snapToGrid w:val="0"/>
              <w:jc w:val="center"/>
              <w:outlineLvl w:val="9"/>
              <w:rPr>
                <w:rFonts w:ascii="仿宋_GB2312" w:hAnsi="仿宋_GB2312" w:eastAsia="仿宋_GB2312" w:cs="仿宋_GB2312"/>
              </w:rPr>
            </w:pPr>
            <w:r>
              <w:rPr>
                <w:rFonts w:hint="eastAsia" w:ascii="仿宋_GB2312" w:hAnsi="仿宋_GB2312" w:eastAsia="仿宋_GB2312" w:cs="仿宋_GB2312"/>
                <w:lang w:val="uk-UA"/>
              </w:rPr>
              <w:t>人数（人）</w:t>
            </w:r>
          </w:p>
        </w:tc>
        <w:tc>
          <w:tcPr>
            <w:tcW w:w="2140" w:type="dxa"/>
            <w:tcBorders>
              <w:top w:val="single" w:color="F79646" w:sz="8" w:space="0"/>
              <w:left w:val="single" w:color="F79646" w:sz="8" w:space="0"/>
              <w:bottom w:val="single" w:color="FFFFFF" w:sz="18" w:space="0"/>
              <w:right w:val="single" w:color="F79646" w:sz="8" w:space="0"/>
            </w:tcBorders>
            <w:shd w:val="clear" w:color="auto" w:fill="F79646"/>
            <w:vAlign w:val="center"/>
          </w:tcPr>
          <w:p>
            <w:pPr>
              <w:tabs>
                <w:tab w:val="left" w:pos="900"/>
              </w:tabs>
              <w:snapToGrid w:val="0"/>
              <w:jc w:val="center"/>
              <w:outlineLvl w:val="9"/>
              <w:rPr>
                <w:rFonts w:ascii="仿宋_GB2312" w:hAnsi="仿宋_GB2312" w:eastAsia="仿宋_GB2312" w:cs="仿宋_GB2312"/>
              </w:rPr>
            </w:pPr>
            <w:r>
              <w:rPr>
                <w:rFonts w:hint="eastAsia" w:ascii="仿宋_GB2312" w:hAnsi="仿宋_GB2312" w:eastAsia="仿宋_GB2312" w:cs="仿宋_GB2312"/>
                <w:lang w:val="uk-UA"/>
              </w:rPr>
              <w:t>标准（元</w:t>
            </w:r>
            <w:r>
              <w:rPr>
                <w:rFonts w:hint="eastAsia" w:ascii="仿宋_GB2312" w:hAnsi="仿宋_GB2312" w:eastAsia="仿宋_GB2312" w:cs="仿宋_GB2312"/>
              </w:rPr>
              <w:t>/</w:t>
            </w:r>
            <w:r>
              <w:rPr>
                <w:rFonts w:hint="eastAsia" w:ascii="仿宋_GB2312" w:hAnsi="仿宋_GB2312" w:eastAsia="仿宋_GB2312" w:cs="仿宋_GB2312"/>
                <w:lang w:val="uk-UA"/>
              </w:rPr>
              <w:t>人）</w:t>
            </w:r>
          </w:p>
        </w:tc>
        <w:tc>
          <w:tcPr>
            <w:tcW w:w="2030" w:type="dxa"/>
            <w:tcBorders>
              <w:top w:val="single" w:color="F79646" w:sz="8" w:space="0"/>
              <w:left w:val="single" w:color="F79646" w:sz="8" w:space="0"/>
              <w:bottom w:val="single" w:color="FFFFFF" w:sz="18" w:space="0"/>
              <w:right w:val="single" w:color="F79646" w:sz="8" w:space="0"/>
            </w:tcBorders>
            <w:shd w:val="clear" w:color="auto" w:fill="F79646"/>
            <w:vAlign w:val="center"/>
          </w:tcPr>
          <w:p>
            <w:pPr>
              <w:tabs>
                <w:tab w:val="left" w:pos="900"/>
              </w:tabs>
              <w:snapToGrid w:val="0"/>
              <w:jc w:val="center"/>
              <w:outlineLvl w:val="9"/>
              <w:rPr>
                <w:rFonts w:ascii="仿宋_GB2312" w:hAnsi="仿宋_GB2312" w:eastAsia="仿宋_GB2312" w:cs="仿宋_GB2312"/>
              </w:rPr>
            </w:pPr>
            <w:r>
              <w:rPr>
                <w:rFonts w:hint="eastAsia" w:ascii="仿宋_GB2312" w:hAnsi="仿宋_GB2312" w:cs="仿宋_GB2312" w:eastAsiaTheme="minorEastAsia"/>
                <w:lang w:val="uk-UA"/>
              </w:rPr>
              <w:t>实际发放</w:t>
            </w:r>
            <w:r>
              <w:rPr>
                <w:rFonts w:hint="eastAsia" w:ascii="仿宋_GB2312" w:hAnsi="仿宋_GB2312" w:eastAsia="仿宋_GB2312" w:cs="仿宋_GB2312"/>
                <w:lang w:val="uk-UA"/>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890" w:type="dxa"/>
            <w:tcBorders>
              <w:top w:val="single" w:color="FFFFFF" w:sz="18" w:space="0"/>
              <w:left w:val="single" w:color="F79646" w:sz="8" w:space="0"/>
              <w:bottom w:val="single" w:color="F79646" w:sz="8" w:space="0"/>
              <w:right w:val="single" w:color="F79646" w:sz="8" w:space="0"/>
            </w:tcBorders>
            <w:shd w:val="clear" w:color="auto" w:fill="FBD5B5"/>
            <w:vAlign w:val="center"/>
          </w:tcPr>
          <w:p>
            <w:pPr>
              <w:tabs>
                <w:tab w:val="left" w:pos="900"/>
              </w:tabs>
              <w:snapToGrid w:val="0"/>
              <w:jc w:val="center"/>
              <w:outlineLvl w:val="9"/>
              <w:rPr>
                <w:rFonts w:ascii="仿宋_GB2312" w:hAnsi="仿宋_GB2312" w:eastAsia="仿宋_GB2312" w:cs="仿宋_GB2312"/>
              </w:rPr>
            </w:pPr>
            <w:r>
              <w:rPr>
                <w:rFonts w:hint="eastAsia" w:ascii="仿宋_GB2312" w:hAnsi="仿宋_GB2312" w:eastAsia="仿宋_GB2312" w:cs="仿宋_GB2312"/>
              </w:rPr>
              <w:t>20</w:t>
            </w:r>
            <w:r>
              <w:rPr>
                <w:rFonts w:hint="eastAsia" w:ascii="仿宋_GB2312" w:hAnsi="仿宋_GB2312" w:cs="仿宋_GB2312" w:eastAsiaTheme="minorEastAsia"/>
              </w:rPr>
              <w:t>20</w:t>
            </w:r>
            <w:r>
              <w:rPr>
                <w:rFonts w:hint="eastAsia" w:ascii="仿宋_GB2312" w:hAnsi="仿宋_GB2312" w:eastAsia="仿宋_GB2312" w:cs="仿宋_GB2312"/>
                <w:lang w:val="uk-UA"/>
              </w:rPr>
              <w:t>级</w:t>
            </w:r>
          </w:p>
        </w:tc>
        <w:tc>
          <w:tcPr>
            <w:tcW w:w="2139" w:type="dxa"/>
            <w:tcBorders>
              <w:top w:val="single" w:color="FFFFFF" w:sz="18" w:space="0"/>
              <w:left w:val="single" w:color="F79646" w:sz="8" w:space="0"/>
              <w:bottom w:val="single" w:color="F79646" w:sz="8" w:space="0"/>
              <w:right w:val="single" w:color="F79646" w:sz="8" w:space="0"/>
            </w:tcBorders>
            <w:shd w:val="clear" w:color="auto" w:fill="FBD5B5"/>
            <w:vAlign w:val="center"/>
          </w:tcPr>
          <w:p>
            <w:pPr>
              <w:tabs>
                <w:tab w:val="left" w:pos="900"/>
              </w:tabs>
              <w:snapToGrid w:val="0"/>
              <w:jc w:val="center"/>
              <w:outlineLvl w:val="9"/>
              <w:rPr>
                <w:rFonts w:ascii="仿宋_GB2312" w:hAnsi="仿宋_GB2312" w:eastAsia="仿宋_GB2312" w:cs="仿宋_GB2312"/>
              </w:rPr>
            </w:pPr>
            <w:r>
              <w:rPr>
                <w:rFonts w:hint="eastAsia" w:ascii="仿宋_GB2312" w:hAnsi="仿宋_GB2312" w:eastAsia="仿宋_GB2312" w:cs="仿宋_GB2312"/>
              </w:rPr>
              <w:t>1</w:t>
            </w:r>
          </w:p>
        </w:tc>
        <w:tc>
          <w:tcPr>
            <w:tcW w:w="2140" w:type="dxa"/>
            <w:tcBorders>
              <w:top w:val="single" w:color="FFFFFF" w:sz="18" w:space="0"/>
              <w:left w:val="single" w:color="F79646" w:sz="8" w:space="0"/>
              <w:bottom w:val="single" w:color="F79646" w:sz="8" w:space="0"/>
              <w:right w:val="single" w:color="F79646" w:sz="8" w:space="0"/>
            </w:tcBorders>
            <w:shd w:val="clear" w:color="auto" w:fill="FBD5B5"/>
            <w:vAlign w:val="center"/>
          </w:tcPr>
          <w:p>
            <w:pPr>
              <w:tabs>
                <w:tab w:val="left" w:pos="900"/>
              </w:tabs>
              <w:snapToGrid w:val="0"/>
              <w:jc w:val="center"/>
              <w:outlineLvl w:val="9"/>
              <w:rPr>
                <w:rFonts w:ascii="仿宋_GB2312" w:hAnsi="仿宋_GB2312" w:eastAsia="仿宋_GB2312" w:cs="仿宋_GB2312"/>
              </w:rPr>
            </w:pPr>
            <w:r>
              <w:rPr>
                <w:rFonts w:hint="eastAsia" w:ascii="仿宋_GB2312" w:hAnsi="仿宋_GB2312" w:eastAsia="仿宋_GB2312" w:cs="仿宋_GB2312"/>
              </w:rPr>
              <w:t>6000</w:t>
            </w:r>
          </w:p>
        </w:tc>
        <w:tc>
          <w:tcPr>
            <w:tcW w:w="2030" w:type="dxa"/>
            <w:tcBorders>
              <w:top w:val="single" w:color="FFFFFF" w:sz="18" w:space="0"/>
              <w:left w:val="single" w:color="F79646" w:sz="8" w:space="0"/>
              <w:bottom w:val="single" w:color="F79646" w:sz="8" w:space="0"/>
              <w:right w:val="single" w:color="F79646" w:sz="8" w:space="0"/>
            </w:tcBorders>
            <w:shd w:val="clear" w:color="auto" w:fill="FBD5B5"/>
            <w:vAlign w:val="center"/>
          </w:tcPr>
          <w:p>
            <w:pPr>
              <w:tabs>
                <w:tab w:val="left" w:pos="900"/>
              </w:tabs>
              <w:snapToGrid w:val="0"/>
              <w:jc w:val="center"/>
              <w:outlineLvl w:val="9"/>
              <w:rPr>
                <w:rFonts w:hint="eastAsia" w:ascii="仿宋_GB2312" w:hAnsi="仿宋_GB2312" w:cs="仿宋_GB2312" w:eastAsiaTheme="minorEastAsia"/>
              </w:rPr>
            </w:pPr>
            <w:r>
              <w:rPr>
                <w:rFonts w:hint="eastAsia" w:ascii="仿宋_GB2312" w:hAnsi="仿宋_GB2312" w:cs="仿宋_GB2312" w:eastAsiaTheme="minorEastAsia"/>
              </w:rPr>
              <w:t>6000</w:t>
            </w:r>
          </w:p>
        </w:tc>
      </w:tr>
    </w:tbl>
    <w:p>
      <w:pPr>
        <w:spacing w:beforeLines="100"/>
        <w:jc w:val="center"/>
        <w:outlineLvl w:val="9"/>
        <w:rPr>
          <w:rFonts w:ascii="仿宋_GB2312" w:hAnsi="仿宋_GB2312" w:eastAsia="仿宋_GB2312" w:cs="仿宋_GB2312"/>
          <w:sz w:val="28"/>
          <w:szCs w:val="28"/>
          <w:lang w:val="uk-UA"/>
        </w:rPr>
      </w:pPr>
      <w:r>
        <w:rPr>
          <w:rFonts w:hint="eastAsia" w:ascii="仿宋_GB2312" w:hAnsi="仿宋_GB2312" w:eastAsia="仿宋_GB2312" w:cs="仿宋_GB2312"/>
          <w:b/>
          <w:sz w:val="28"/>
          <w:szCs w:val="28"/>
          <w:lang w:val="uk-UA"/>
        </w:rPr>
        <w:t>学生申请国家助学金流程图</w:t>
      </w:r>
    </w:p>
    <w:tbl>
      <w:tblPr>
        <w:tblStyle w:val="14"/>
        <w:tblW w:w="0" w:type="auto"/>
        <w:tblInd w:w="135" w:type="dxa"/>
        <w:tblLayout w:type="fixed"/>
        <w:tblCellMar>
          <w:top w:w="0" w:type="dxa"/>
          <w:left w:w="0" w:type="dxa"/>
          <w:bottom w:w="0" w:type="dxa"/>
          <w:right w:w="0" w:type="dxa"/>
        </w:tblCellMar>
      </w:tblPr>
      <w:tblGrid>
        <w:gridCol w:w="974"/>
        <w:gridCol w:w="752"/>
        <w:gridCol w:w="974"/>
        <w:gridCol w:w="752"/>
        <w:gridCol w:w="974"/>
        <w:gridCol w:w="752"/>
        <w:gridCol w:w="974"/>
        <w:gridCol w:w="752"/>
        <w:gridCol w:w="974"/>
      </w:tblGrid>
      <w:tr>
        <w:tblPrEx>
          <w:tblCellMar>
            <w:top w:w="0" w:type="dxa"/>
            <w:left w:w="0" w:type="dxa"/>
            <w:bottom w:w="0" w:type="dxa"/>
            <w:right w:w="0" w:type="dxa"/>
          </w:tblCellMar>
        </w:tblPrEx>
        <w:trPr>
          <w:trHeight w:val="620" w:hRule="atLeast"/>
        </w:trPr>
        <w:tc>
          <w:tcPr>
            <w:tcW w:w="97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overflowPunct w:val="0"/>
              <w:autoSpaceDE w:val="0"/>
              <w:autoSpaceDN w:val="0"/>
              <w:adjustRightInd w:val="0"/>
              <w:jc w:val="center"/>
              <w:textAlignment w:val="center"/>
              <w:outlineLvl w:val="9"/>
              <w:rPr>
                <w:rFonts w:ascii="仿宋" w:hAnsi="仿宋" w:eastAsia="仿宋" w:cs="仿宋"/>
                <w:b/>
                <w:bCs/>
                <w:sz w:val="24"/>
                <w:szCs w:val="24"/>
              </w:rPr>
            </w:pPr>
            <w:r>
              <w:rPr>
                <w:rFonts w:hint="eastAsia" w:ascii="仿宋" w:hAnsi="仿宋" w:eastAsia="仿宋" w:cs="仿宋"/>
                <w:b/>
                <w:bCs/>
              </w:rPr>
              <w:t>个人申请</w:t>
            </w:r>
          </w:p>
        </w:tc>
        <w:tc>
          <w:tcPr>
            <w:tcW w:w="752" w:type="dxa"/>
            <w:tcBorders>
              <w:top w:val="nil"/>
              <w:left w:val="nil"/>
              <w:bottom w:val="nil"/>
              <w:right w:val="nil"/>
            </w:tcBorders>
            <w:tcMar>
              <w:top w:w="15" w:type="dxa"/>
              <w:left w:w="15" w:type="dxa"/>
              <w:bottom w:w="0" w:type="dxa"/>
              <w:right w:w="15" w:type="dxa"/>
            </w:tcMar>
            <w:vAlign w:val="center"/>
          </w:tcPr>
          <w:p>
            <w:pPr>
              <w:overflowPunct w:val="0"/>
              <w:autoSpaceDE w:val="0"/>
              <w:autoSpaceDN w:val="0"/>
              <w:adjustRightInd w:val="0"/>
              <w:jc w:val="center"/>
              <w:textAlignment w:val="center"/>
              <w:outlineLvl w:val="9"/>
              <w:rPr>
                <w:rFonts w:ascii="仿宋" w:hAnsi="仿宋" w:eastAsia="仿宋" w:cs="仿宋"/>
                <w:b/>
                <w:bCs/>
                <w:sz w:val="24"/>
                <w:szCs w:val="24"/>
              </w:rPr>
            </w:pPr>
            <w:r>
              <w:rPr>
                <w:rFonts w:ascii="仿宋" w:hAnsi="仿宋" w:eastAsia="仿宋" w:cs="仿宋"/>
              </w:rPr>
              <w:drawing>
                <wp:inline distT="0" distB="0" distL="114300" distR="114300">
                  <wp:extent cx="495300" cy="76200"/>
                  <wp:effectExtent l="0" t="0" r="0" b="0"/>
                  <wp:docPr id="172" name="图片 4" descr="wp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4" descr="wps12"/>
                          <pic:cNvPicPr>
                            <a:picLocks noChangeAspect="1"/>
                          </pic:cNvPicPr>
                        </pic:nvPicPr>
                        <pic:blipFill>
                          <a:blip r:embed="rId124"/>
                          <a:stretch>
                            <a:fillRect/>
                          </a:stretch>
                        </pic:blipFill>
                        <pic:spPr>
                          <a:xfrm>
                            <a:off x="0" y="0"/>
                            <a:ext cx="495300" cy="76200"/>
                          </a:xfrm>
                          <a:prstGeom prst="rect">
                            <a:avLst/>
                          </a:prstGeom>
                          <a:noFill/>
                          <a:ln>
                            <a:noFill/>
                          </a:ln>
                        </pic:spPr>
                      </pic:pic>
                    </a:graphicData>
                  </a:graphic>
                </wp:inline>
              </w:drawing>
            </w:r>
          </w:p>
        </w:tc>
        <w:tc>
          <w:tcPr>
            <w:tcW w:w="97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overflowPunct w:val="0"/>
              <w:autoSpaceDE w:val="0"/>
              <w:autoSpaceDN w:val="0"/>
              <w:adjustRightInd w:val="0"/>
              <w:jc w:val="center"/>
              <w:textAlignment w:val="center"/>
              <w:outlineLvl w:val="9"/>
              <w:rPr>
                <w:rFonts w:ascii="仿宋" w:hAnsi="仿宋" w:eastAsia="仿宋" w:cs="仿宋"/>
                <w:b/>
                <w:bCs/>
                <w:sz w:val="24"/>
                <w:szCs w:val="24"/>
              </w:rPr>
            </w:pPr>
            <w:r>
              <w:rPr>
                <w:rFonts w:hint="eastAsia" w:ascii="仿宋" w:hAnsi="仿宋" w:eastAsia="仿宋" w:cs="仿宋"/>
                <w:b/>
                <w:bCs/>
              </w:rPr>
              <w:t>提供资料</w:t>
            </w:r>
          </w:p>
        </w:tc>
        <w:tc>
          <w:tcPr>
            <w:tcW w:w="752" w:type="dxa"/>
            <w:tcBorders>
              <w:top w:val="nil"/>
              <w:left w:val="nil"/>
              <w:bottom w:val="nil"/>
              <w:right w:val="nil"/>
            </w:tcBorders>
            <w:tcMar>
              <w:top w:w="15" w:type="dxa"/>
              <w:left w:w="15" w:type="dxa"/>
              <w:bottom w:w="0" w:type="dxa"/>
              <w:right w:w="15" w:type="dxa"/>
            </w:tcMar>
            <w:vAlign w:val="center"/>
          </w:tcPr>
          <w:p>
            <w:pPr>
              <w:overflowPunct w:val="0"/>
              <w:autoSpaceDE w:val="0"/>
              <w:autoSpaceDN w:val="0"/>
              <w:adjustRightInd w:val="0"/>
              <w:jc w:val="center"/>
              <w:textAlignment w:val="center"/>
              <w:outlineLvl w:val="9"/>
              <w:rPr>
                <w:rFonts w:ascii="仿宋" w:hAnsi="仿宋" w:eastAsia="仿宋" w:cs="仿宋"/>
                <w:b/>
                <w:bCs/>
                <w:sz w:val="24"/>
                <w:szCs w:val="24"/>
              </w:rPr>
            </w:pPr>
            <w:r>
              <w:rPr>
                <w:rFonts w:ascii="仿宋" w:hAnsi="仿宋" w:eastAsia="仿宋" w:cs="仿宋"/>
              </w:rPr>
              <w:drawing>
                <wp:inline distT="0" distB="0" distL="114300" distR="114300">
                  <wp:extent cx="495300" cy="76200"/>
                  <wp:effectExtent l="0" t="0" r="0" b="0"/>
                  <wp:docPr id="173" name="图片 5" descr="wp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5" descr="wps12"/>
                          <pic:cNvPicPr>
                            <a:picLocks noChangeAspect="1"/>
                          </pic:cNvPicPr>
                        </pic:nvPicPr>
                        <pic:blipFill>
                          <a:blip r:embed="rId124"/>
                          <a:stretch>
                            <a:fillRect/>
                          </a:stretch>
                        </pic:blipFill>
                        <pic:spPr>
                          <a:xfrm>
                            <a:off x="0" y="0"/>
                            <a:ext cx="495300" cy="76200"/>
                          </a:xfrm>
                          <a:prstGeom prst="rect">
                            <a:avLst/>
                          </a:prstGeom>
                          <a:noFill/>
                          <a:ln>
                            <a:noFill/>
                          </a:ln>
                        </pic:spPr>
                      </pic:pic>
                    </a:graphicData>
                  </a:graphic>
                </wp:inline>
              </w:drawing>
            </w:r>
          </w:p>
        </w:tc>
        <w:tc>
          <w:tcPr>
            <w:tcW w:w="97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overflowPunct w:val="0"/>
              <w:autoSpaceDE w:val="0"/>
              <w:autoSpaceDN w:val="0"/>
              <w:adjustRightInd w:val="0"/>
              <w:jc w:val="center"/>
              <w:textAlignment w:val="center"/>
              <w:outlineLvl w:val="9"/>
              <w:rPr>
                <w:rFonts w:ascii="仿宋" w:hAnsi="仿宋" w:eastAsia="仿宋" w:cs="仿宋"/>
                <w:b/>
                <w:bCs/>
                <w:sz w:val="24"/>
                <w:szCs w:val="24"/>
              </w:rPr>
            </w:pPr>
            <w:r>
              <w:rPr>
                <w:rFonts w:hint="eastAsia" w:ascii="仿宋" w:hAnsi="仿宋" w:eastAsia="仿宋" w:cs="仿宋"/>
                <w:b/>
                <w:bCs/>
              </w:rPr>
              <w:t>班内审核</w:t>
            </w:r>
          </w:p>
        </w:tc>
        <w:tc>
          <w:tcPr>
            <w:tcW w:w="752" w:type="dxa"/>
            <w:tcBorders>
              <w:top w:val="nil"/>
              <w:left w:val="nil"/>
              <w:bottom w:val="nil"/>
              <w:right w:val="nil"/>
            </w:tcBorders>
            <w:tcMar>
              <w:top w:w="15" w:type="dxa"/>
              <w:left w:w="15" w:type="dxa"/>
              <w:bottom w:w="0" w:type="dxa"/>
              <w:right w:w="15" w:type="dxa"/>
            </w:tcMar>
            <w:vAlign w:val="center"/>
          </w:tcPr>
          <w:p>
            <w:pPr>
              <w:overflowPunct w:val="0"/>
              <w:autoSpaceDE w:val="0"/>
              <w:autoSpaceDN w:val="0"/>
              <w:adjustRightInd w:val="0"/>
              <w:jc w:val="center"/>
              <w:textAlignment w:val="center"/>
              <w:outlineLvl w:val="9"/>
              <w:rPr>
                <w:rFonts w:ascii="仿宋" w:hAnsi="仿宋" w:eastAsia="仿宋" w:cs="仿宋"/>
                <w:b/>
                <w:bCs/>
                <w:sz w:val="24"/>
                <w:szCs w:val="24"/>
              </w:rPr>
            </w:pPr>
            <w:r>
              <w:rPr>
                <w:rFonts w:ascii="仿宋" w:hAnsi="仿宋" w:eastAsia="仿宋" w:cs="仿宋"/>
              </w:rPr>
              <w:drawing>
                <wp:inline distT="0" distB="0" distL="114300" distR="114300">
                  <wp:extent cx="495300" cy="76200"/>
                  <wp:effectExtent l="0" t="0" r="0" b="0"/>
                  <wp:docPr id="174" name="图片 6" descr="wp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6" descr="wps12"/>
                          <pic:cNvPicPr>
                            <a:picLocks noChangeAspect="1"/>
                          </pic:cNvPicPr>
                        </pic:nvPicPr>
                        <pic:blipFill>
                          <a:blip r:embed="rId124"/>
                          <a:stretch>
                            <a:fillRect/>
                          </a:stretch>
                        </pic:blipFill>
                        <pic:spPr>
                          <a:xfrm>
                            <a:off x="0" y="0"/>
                            <a:ext cx="495300" cy="76200"/>
                          </a:xfrm>
                          <a:prstGeom prst="rect">
                            <a:avLst/>
                          </a:prstGeom>
                          <a:noFill/>
                          <a:ln>
                            <a:noFill/>
                          </a:ln>
                        </pic:spPr>
                      </pic:pic>
                    </a:graphicData>
                  </a:graphic>
                </wp:inline>
              </w:drawing>
            </w:r>
          </w:p>
        </w:tc>
        <w:tc>
          <w:tcPr>
            <w:tcW w:w="97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overflowPunct w:val="0"/>
              <w:autoSpaceDE w:val="0"/>
              <w:autoSpaceDN w:val="0"/>
              <w:adjustRightInd w:val="0"/>
              <w:jc w:val="center"/>
              <w:textAlignment w:val="center"/>
              <w:outlineLvl w:val="9"/>
              <w:rPr>
                <w:rFonts w:ascii="仿宋" w:hAnsi="仿宋" w:eastAsia="仿宋" w:cs="仿宋"/>
                <w:b/>
                <w:bCs/>
                <w:sz w:val="24"/>
                <w:szCs w:val="24"/>
              </w:rPr>
            </w:pPr>
            <w:r>
              <w:rPr>
                <w:rFonts w:hint="eastAsia" w:ascii="仿宋" w:hAnsi="仿宋" w:eastAsia="仿宋" w:cs="仿宋"/>
                <w:b/>
                <w:bCs/>
              </w:rPr>
              <w:t>确定名单</w:t>
            </w:r>
          </w:p>
        </w:tc>
        <w:tc>
          <w:tcPr>
            <w:tcW w:w="752" w:type="dxa"/>
            <w:tcBorders>
              <w:top w:val="nil"/>
              <w:left w:val="nil"/>
              <w:bottom w:val="nil"/>
              <w:right w:val="nil"/>
            </w:tcBorders>
            <w:tcMar>
              <w:top w:w="15" w:type="dxa"/>
              <w:left w:w="15" w:type="dxa"/>
              <w:bottom w:w="0" w:type="dxa"/>
              <w:right w:w="15" w:type="dxa"/>
            </w:tcMar>
            <w:vAlign w:val="center"/>
          </w:tcPr>
          <w:p>
            <w:pPr>
              <w:overflowPunct w:val="0"/>
              <w:autoSpaceDE w:val="0"/>
              <w:autoSpaceDN w:val="0"/>
              <w:adjustRightInd w:val="0"/>
              <w:jc w:val="center"/>
              <w:textAlignment w:val="center"/>
              <w:outlineLvl w:val="9"/>
              <w:rPr>
                <w:rFonts w:ascii="仿宋" w:hAnsi="仿宋" w:eastAsia="仿宋" w:cs="仿宋"/>
                <w:sz w:val="24"/>
                <w:szCs w:val="24"/>
              </w:rPr>
            </w:pPr>
            <w:r>
              <w:rPr>
                <w:rFonts w:ascii="仿宋" w:hAnsi="仿宋" w:eastAsia="仿宋" w:cs="仿宋"/>
              </w:rPr>
              <w:drawing>
                <wp:inline distT="0" distB="0" distL="114300" distR="114300">
                  <wp:extent cx="495300" cy="76200"/>
                  <wp:effectExtent l="0" t="0" r="0" b="0"/>
                  <wp:docPr id="175" name="图片 7" descr="wp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7" descr="wps12"/>
                          <pic:cNvPicPr>
                            <a:picLocks noChangeAspect="1"/>
                          </pic:cNvPicPr>
                        </pic:nvPicPr>
                        <pic:blipFill>
                          <a:blip r:embed="rId124"/>
                          <a:stretch>
                            <a:fillRect/>
                          </a:stretch>
                        </pic:blipFill>
                        <pic:spPr>
                          <a:xfrm>
                            <a:off x="0" y="0"/>
                            <a:ext cx="495300" cy="76200"/>
                          </a:xfrm>
                          <a:prstGeom prst="rect">
                            <a:avLst/>
                          </a:prstGeom>
                          <a:noFill/>
                          <a:ln>
                            <a:noFill/>
                          </a:ln>
                        </pic:spPr>
                      </pic:pic>
                    </a:graphicData>
                  </a:graphic>
                </wp:inline>
              </w:drawing>
            </w:r>
          </w:p>
        </w:tc>
        <w:tc>
          <w:tcPr>
            <w:tcW w:w="97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overflowPunct w:val="0"/>
              <w:autoSpaceDE w:val="0"/>
              <w:autoSpaceDN w:val="0"/>
              <w:adjustRightInd w:val="0"/>
              <w:jc w:val="center"/>
              <w:textAlignment w:val="center"/>
              <w:outlineLvl w:val="9"/>
              <w:rPr>
                <w:rFonts w:ascii="仿宋" w:hAnsi="仿宋" w:eastAsia="仿宋" w:cs="仿宋"/>
                <w:b/>
                <w:bCs/>
                <w:sz w:val="24"/>
                <w:szCs w:val="24"/>
              </w:rPr>
            </w:pPr>
            <w:r>
              <w:rPr>
                <w:rFonts w:hint="eastAsia" w:ascii="仿宋" w:hAnsi="仿宋" w:eastAsia="仿宋" w:cs="仿宋"/>
                <w:b/>
                <w:bCs/>
              </w:rPr>
              <w:t>上报校资助办</w:t>
            </w:r>
          </w:p>
        </w:tc>
      </w:tr>
      <w:tr>
        <w:tblPrEx>
          <w:tblCellMar>
            <w:top w:w="0" w:type="dxa"/>
            <w:left w:w="0" w:type="dxa"/>
            <w:bottom w:w="0" w:type="dxa"/>
            <w:right w:w="0" w:type="dxa"/>
          </w:tblCellMar>
        </w:tblPrEx>
        <w:trPr>
          <w:trHeight w:val="324" w:hRule="atLeast"/>
        </w:trPr>
        <w:tc>
          <w:tcPr>
            <w:tcW w:w="974" w:type="dxa"/>
            <w:tcBorders>
              <w:top w:val="nil"/>
              <w:left w:val="nil"/>
              <w:bottom w:val="nil"/>
              <w:right w:val="nil"/>
            </w:tcBorders>
            <w:tcMar>
              <w:top w:w="15" w:type="dxa"/>
              <w:left w:w="15" w:type="dxa"/>
              <w:bottom w:w="0" w:type="dxa"/>
              <w:right w:w="15" w:type="dxa"/>
            </w:tcMar>
            <w:vAlign w:val="center"/>
          </w:tcPr>
          <w:p>
            <w:pPr>
              <w:overflowPunct w:val="0"/>
              <w:autoSpaceDE w:val="0"/>
              <w:autoSpaceDN w:val="0"/>
              <w:adjustRightInd w:val="0"/>
              <w:textAlignment w:val="baseline"/>
              <w:outlineLvl w:val="9"/>
              <w:rPr>
                <w:rFonts w:ascii="仿宋" w:hAnsi="仿宋" w:eastAsia="仿宋" w:cs="仿宋"/>
                <w:b/>
                <w:bCs/>
                <w:sz w:val="24"/>
                <w:szCs w:val="24"/>
              </w:rPr>
            </w:pPr>
          </w:p>
        </w:tc>
        <w:tc>
          <w:tcPr>
            <w:tcW w:w="752" w:type="dxa"/>
            <w:tcBorders>
              <w:top w:val="nil"/>
              <w:left w:val="nil"/>
              <w:bottom w:val="nil"/>
              <w:right w:val="nil"/>
            </w:tcBorders>
            <w:tcMar>
              <w:top w:w="15" w:type="dxa"/>
              <w:left w:w="15" w:type="dxa"/>
              <w:bottom w:w="0" w:type="dxa"/>
              <w:right w:w="15" w:type="dxa"/>
            </w:tcMar>
            <w:vAlign w:val="center"/>
          </w:tcPr>
          <w:p>
            <w:pPr>
              <w:overflowPunct w:val="0"/>
              <w:autoSpaceDE w:val="0"/>
              <w:autoSpaceDN w:val="0"/>
              <w:adjustRightInd w:val="0"/>
              <w:textAlignment w:val="baseline"/>
              <w:outlineLvl w:val="9"/>
              <w:rPr>
                <w:rFonts w:ascii="仿宋" w:hAnsi="仿宋" w:eastAsia="仿宋" w:cs="仿宋"/>
                <w:b/>
                <w:bCs/>
                <w:sz w:val="24"/>
                <w:szCs w:val="24"/>
              </w:rPr>
            </w:pPr>
          </w:p>
        </w:tc>
        <w:tc>
          <w:tcPr>
            <w:tcW w:w="974" w:type="dxa"/>
            <w:tcBorders>
              <w:top w:val="nil"/>
              <w:left w:val="nil"/>
              <w:bottom w:val="nil"/>
              <w:right w:val="nil"/>
            </w:tcBorders>
            <w:tcMar>
              <w:top w:w="15" w:type="dxa"/>
              <w:left w:w="15" w:type="dxa"/>
              <w:bottom w:w="0" w:type="dxa"/>
              <w:right w:w="15" w:type="dxa"/>
            </w:tcMar>
            <w:vAlign w:val="center"/>
          </w:tcPr>
          <w:p>
            <w:pPr>
              <w:overflowPunct w:val="0"/>
              <w:autoSpaceDE w:val="0"/>
              <w:autoSpaceDN w:val="0"/>
              <w:adjustRightInd w:val="0"/>
              <w:jc w:val="center"/>
              <w:textAlignment w:val="baseline"/>
              <w:outlineLvl w:val="9"/>
              <w:rPr>
                <w:rFonts w:ascii="仿宋" w:hAnsi="仿宋" w:eastAsia="仿宋" w:cs="仿宋"/>
                <w:b/>
                <w:bCs/>
                <w:sz w:val="24"/>
                <w:szCs w:val="24"/>
              </w:rPr>
            </w:pPr>
          </w:p>
        </w:tc>
        <w:tc>
          <w:tcPr>
            <w:tcW w:w="752" w:type="dxa"/>
            <w:tcBorders>
              <w:top w:val="nil"/>
              <w:left w:val="nil"/>
              <w:bottom w:val="nil"/>
              <w:right w:val="nil"/>
            </w:tcBorders>
            <w:tcMar>
              <w:top w:w="15" w:type="dxa"/>
              <w:left w:w="15" w:type="dxa"/>
              <w:bottom w:w="0" w:type="dxa"/>
              <w:right w:w="15" w:type="dxa"/>
            </w:tcMar>
            <w:vAlign w:val="center"/>
          </w:tcPr>
          <w:p>
            <w:pPr>
              <w:overflowPunct w:val="0"/>
              <w:autoSpaceDE w:val="0"/>
              <w:autoSpaceDN w:val="0"/>
              <w:adjustRightInd w:val="0"/>
              <w:jc w:val="center"/>
              <w:textAlignment w:val="baseline"/>
              <w:outlineLvl w:val="9"/>
              <w:rPr>
                <w:rFonts w:ascii="仿宋" w:hAnsi="仿宋" w:eastAsia="仿宋" w:cs="仿宋"/>
                <w:b/>
                <w:bCs/>
                <w:sz w:val="24"/>
                <w:szCs w:val="24"/>
              </w:rPr>
            </w:pPr>
          </w:p>
        </w:tc>
        <w:tc>
          <w:tcPr>
            <w:tcW w:w="974" w:type="dxa"/>
            <w:tcBorders>
              <w:top w:val="nil"/>
              <w:left w:val="nil"/>
              <w:bottom w:val="nil"/>
              <w:right w:val="nil"/>
            </w:tcBorders>
            <w:tcMar>
              <w:top w:w="15" w:type="dxa"/>
              <w:left w:w="15" w:type="dxa"/>
              <w:bottom w:w="0" w:type="dxa"/>
              <w:right w:w="15" w:type="dxa"/>
            </w:tcMar>
            <w:vAlign w:val="center"/>
          </w:tcPr>
          <w:p>
            <w:pPr>
              <w:overflowPunct w:val="0"/>
              <w:autoSpaceDE w:val="0"/>
              <w:autoSpaceDN w:val="0"/>
              <w:adjustRightInd w:val="0"/>
              <w:jc w:val="center"/>
              <w:textAlignment w:val="baseline"/>
              <w:outlineLvl w:val="9"/>
              <w:rPr>
                <w:rFonts w:ascii="仿宋" w:hAnsi="仿宋" w:eastAsia="仿宋" w:cs="仿宋"/>
                <w:b/>
                <w:bCs/>
                <w:sz w:val="24"/>
                <w:szCs w:val="24"/>
              </w:rPr>
            </w:pPr>
          </w:p>
        </w:tc>
        <w:tc>
          <w:tcPr>
            <w:tcW w:w="752" w:type="dxa"/>
            <w:tcBorders>
              <w:top w:val="nil"/>
              <w:left w:val="nil"/>
              <w:bottom w:val="nil"/>
              <w:right w:val="nil"/>
            </w:tcBorders>
            <w:tcMar>
              <w:top w:w="15" w:type="dxa"/>
              <w:left w:w="15" w:type="dxa"/>
              <w:bottom w:w="0" w:type="dxa"/>
              <w:right w:w="15" w:type="dxa"/>
            </w:tcMar>
            <w:vAlign w:val="center"/>
          </w:tcPr>
          <w:p>
            <w:pPr>
              <w:overflowPunct w:val="0"/>
              <w:autoSpaceDE w:val="0"/>
              <w:autoSpaceDN w:val="0"/>
              <w:adjustRightInd w:val="0"/>
              <w:jc w:val="center"/>
              <w:textAlignment w:val="baseline"/>
              <w:outlineLvl w:val="9"/>
              <w:rPr>
                <w:rFonts w:ascii="仿宋" w:hAnsi="仿宋" w:eastAsia="仿宋" w:cs="仿宋"/>
                <w:b/>
                <w:bCs/>
                <w:sz w:val="24"/>
                <w:szCs w:val="24"/>
              </w:rPr>
            </w:pPr>
          </w:p>
        </w:tc>
        <w:tc>
          <w:tcPr>
            <w:tcW w:w="974" w:type="dxa"/>
            <w:tcBorders>
              <w:top w:val="nil"/>
              <w:left w:val="nil"/>
              <w:bottom w:val="nil"/>
              <w:right w:val="nil"/>
            </w:tcBorders>
            <w:tcMar>
              <w:top w:w="15" w:type="dxa"/>
              <w:left w:w="15" w:type="dxa"/>
              <w:bottom w:w="0" w:type="dxa"/>
              <w:right w:w="15" w:type="dxa"/>
            </w:tcMar>
            <w:vAlign w:val="center"/>
          </w:tcPr>
          <w:p>
            <w:pPr>
              <w:overflowPunct w:val="0"/>
              <w:autoSpaceDE w:val="0"/>
              <w:autoSpaceDN w:val="0"/>
              <w:adjustRightInd w:val="0"/>
              <w:jc w:val="center"/>
              <w:textAlignment w:val="baseline"/>
              <w:outlineLvl w:val="9"/>
              <w:rPr>
                <w:rFonts w:ascii="仿宋" w:hAnsi="仿宋" w:eastAsia="仿宋" w:cs="仿宋"/>
                <w:b/>
                <w:bCs/>
                <w:sz w:val="24"/>
                <w:szCs w:val="24"/>
              </w:rPr>
            </w:pPr>
          </w:p>
        </w:tc>
        <w:tc>
          <w:tcPr>
            <w:tcW w:w="752" w:type="dxa"/>
            <w:tcBorders>
              <w:top w:val="nil"/>
              <w:left w:val="nil"/>
              <w:bottom w:val="nil"/>
              <w:right w:val="nil"/>
            </w:tcBorders>
            <w:tcMar>
              <w:top w:w="15" w:type="dxa"/>
              <w:left w:w="15" w:type="dxa"/>
              <w:bottom w:w="0" w:type="dxa"/>
              <w:right w:w="15" w:type="dxa"/>
            </w:tcMar>
            <w:vAlign w:val="center"/>
          </w:tcPr>
          <w:p>
            <w:pPr>
              <w:overflowPunct w:val="0"/>
              <w:autoSpaceDE w:val="0"/>
              <w:autoSpaceDN w:val="0"/>
              <w:adjustRightInd w:val="0"/>
              <w:jc w:val="center"/>
              <w:textAlignment w:val="baseline"/>
              <w:outlineLvl w:val="9"/>
              <w:rPr>
                <w:rFonts w:ascii="仿宋" w:hAnsi="仿宋" w:eastAsia="仿宋" w:cs="仿宋"/>
                <w:sz w:val="24"/>
                <w:szCs w:val="24"/>
              </w:rPr>
            </w:pPr>
          </w:p>
        </w:tc>
        <w:tc>
          <w:tcPr>
            <w:tcW w:w="974" w:type="dxa"/>
            <w:tcBorders>
              <w:top w:val="nil"/>
              <w:left w:val="nil"/>
              <w:bottom w:val="nil"/>
              <w:right w:val="nil"/>
            </w:tcBorders>
            <w:tcMar>
              <w:top w:w="15" w:type="dxa"/>
              <w:left w:w="15" w:type="dxa"/>
              <w:bottom w:w="0" w:type="dxa"/>
              <w:right w:w="15" w:type="dxa"/>
            </w:tcMar>
            <w:vAlign w:val="center"/>
          </w:tcPr>
          <w:p>
            <w:pPr>
              <w:overflowPunct w:val="0"/>
              <w:autoSpaceDE w:val="0"/>
              <w:autoSpaceDN w:val="0"/>
              <w:adjustRightInd w:val="0"/>
              <w:jc w:val="center"/>
              <w:textAlignment w:val="baseline"/>
              <w:outlineLvl w:val="9"/>
              <w:rPr>
                <w:rFonts w:ascii="仿宋" w:hAnsi="仿宋" w:eastAsia="仿宋" w:cs="仿宋"/>
                <w:sz w:val="24"/>
                <w:szCs w:val="24"/>
              </w:rPr>
            </w:pPr>
          </w:p>
        </w:tc>
      </w:tr>
      <w:tr>
        <w:tblPrEx>
          <w:tblCellMar>
            <w:top w:w="0" w:type="dxa"/>
            <w:left w:w="0" w:type="dxa"/>
            <w:bottom w:w="0" w:type="dxa"/>
            <w:right w:w="0" w:type="dxa"/>
          </w:tblCellMar>
        </w:tblPrEx>
        <w:trPr>
          <w:trHeight w:val="632" w:hRule="atLeast"/>
        </w:trPr>
        <w:tc>
          <w:tcPr>
            <w:tcW w:w="97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overflowPunct w:val="0"/>
              <w:autoSpaceDE w:val="0"/>
              <w:autoSpaceDN w:val="0"/>
              <w:adjustRightInd w:val="0"/>
              <w:jc w:val="center"/>
              <w:textAlignment w:val="center"/>
              <w:outlineLvl w:val="9"/>
              <w:rPr>
                <w:rFonts w:ascii="仿宋" w:hAnsi="仿宋" w:eastAsia="仿宋" w:cs="仿宋"/>
                <w:b/>
                <w:bCs/>
                <w:sz w:val="24"/>
                <w:szCs w:val="24"/>
              </w:rPr>
            </w:pPr>
            <w:r>
              <w:rPr>
                <w:rFonts w:hint="eastAsia" w:ascii="仿宋" w:hAnsi="仿宋" w:eastAsia="仿宋" w:cs="仿宋"/>
                <w:b/>
                <w:bCs/>
              </w:rPr>
              <w:t>公示</w:t>
            </w:r>
          </w:p>
        </w:tc>
        <w:tc>
          <w:tcPr>
            <w:tcW w:w="752" w:type="dxa"/>
            <w:tcBorders>
              <w:top w:val="nil"/>
              <w:left w:val="nil"/>
              <w:bottom w:val="nil"/>
              <w:right w:val="nil"/>
            </w:tcBorders>
            <w:tcMar>
              <w:top w:w="15" w:type="dxa"/>
              <w:left w:w="15" w:type="dxa"/>
              <w:bottom w:w="0" w:type="dxa"/>
              <w:right w:w="15" w:type="dxa"/>
            </w:tcMar>
            <w:vAlign w:val="center"/>
          </w:tcPr>
          <w:p>
            <w:pPr>
              <w:overflowPunct w:val="0"/>
              <w:autoSpaceDE w:val="0"/>
              <w:autoSpaceDN w:val="0"/>
              <w:adjustRightInd w:val="0"/>
              <w:textAlignment w:val="center"/>
              <w:outlineLvl w:val="9"/>
              <w:rPr>
                <w:rFonts w:ascii="仿宋" w:hAnsi="仿宋" w:eastAsia="仿宋" w:cs="仿宋"/>
                <w:b/>
                <w:bCs/>
                <w:sz w:val="24"/>
                <w:szCs w:val="24"/>
              </w:rPr>
            </w:pPr>
            <w:r>
              <w:rPr>
                <w:rFonts w:ascii="仿宋" w:hAnsi="仿宋" w:eastAsia="仿宋" w:cs="仿宋"/>
              </w:rPr>
              <w:drawing>
                <wp:inline distT="0" distB="0" distL="114300" distR="114300">
                  <wp:extent cx="495300" cy="76200"/>
                  <wp:effectExtent l="0" t="0" r="0" b="0"/>
                  <wp:docPr id="176" name="图片 8" descr="wp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8" descr="wps12"/>
                          <pic:cNvPicPr>
                            <a:picLocks noChangeAspect="1"/>
                          </pic:cNvPicPr>
                        </pic:nvPicPr>
                        <pic:blipFill>
                          <a:blip r:embed="rId124"/>
                          <a:stretch>
                            <a:fillRect/>
                          </a:stretch>
                        </pic:blipFill>
                        <pic:spPr>
                          <a:xfrm>
                            <a:off x="0" y="0"/>
                            <a:ext cx="495300" cy="76200"/>
                          </a:xfrm>
                          <a:prstGeom prst="rect">
                            <a:avLst/>
                          </a:prstGeom>
                          <a:noFill/>
                          <a:ln>
                            <a:noFill/>
                          </a:ln>
                        </pic:spPr>
                      </pic:pic>
                    </a:graphicData>
                  </a:graphic>
                </wp:inline>
              </w:drawing>
            </w:r>
          </w:p>
        </w:tc>
        <w:tc>
          <w:tcPr>
            <w:tcW w:w="97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overflowPunct w:val="0"/>
              <w:autoSpaceDE w:val="0"/>
              <w:autoSpaceDN w:val="0"/>
              <w:adjustRightInd w:val="0"/>
              <w:jc w:val="center"/>
              <w:textAlignment w:val="center"/>
              <w:outlineLvl w:val="9"/>
              <w:rPr>
                <w:rFonts w:ascii="仿宋" w:hAnsi="仿宋" w:eastAsia="仿宋" w:cs="仿宋"/>
                <w:b/>
                <w:bCs/>
                <w:sz w:val="24"/>
                <w:szCs w:val="24"/>
              </w:rPr>
            </w:pPr>
            <w:r>
              <w:rPr>
                <w:rFonts w:hint="eastAsia" w:ascii="仿宋" w:hAnsi="仿宋" w:eastAsia="仿宋" w:cs="仿宋"/>
                <w:b/>
                <w:bCs/>
              </w:rPr>
              <w:t>上报市资助办</w:t>
            </w:r>
          </w:p>
        </w:tc>
        <w:tc>
          <w:tcPr>
            <w:tcW w:w="752" w:type="dxa"/>
            <w:tcBorders>
              <w:top w:val="nil"/>
              <w:left w:val="nil"/>
              <w:bottom w:val="nil"/>
              <w:right w:val="nil"/>
            </w:tcBorders>
            <w:tcMar>
              <w:top w:w="15" w:type="dxa"/>
              <w:left w:w="15" w:type="dxa"/>
              <w:bottom w:w="0" w:type="dxa"/>
              <w:right w:w="15" w:type="dxa"/>
            </w:tcMar>
            <w:vAlign w:val="center"/>
          </w:tcPr>
          <w:p>
            <w:pPr>
              <w:overflowPunct w:val="0"/>
              <w:autoSpaceDE w:val="0"/>
              <w:autoSpaceDN w:val="0"/>
              <w:adjustRightInd w:val="0"/>
              <w:jc w:val="center"/>
              <w:textAlignment w:val="center"/>
              <w:outlineLvl w:val="9"/>
              <w:rPr>
                <w:rFonts w:ascii="仿宋" w:hAnsi="仿宋" w:eastAsia="仿宋" w:cs="仿宋"/>
                <w:b/>
                <w:bCs/>
                <w:sz w:val="24"/>
                <w:szCs w:val="24"/>
              </w:rPr>
            </w:pPr>
            <w:r>
              <w:rPr>
                <w:rFonts w:ascii="仿宋" w:hAnsi="仿宋" w:eastAsia="仿宋" w:cs="仿宋"/>
              </w:rPr>
              <w:drawing>
                <wp:inline distT="0" distB="0" distL="114300" distR="114300">
                  <wp:extent cx="495300" cy="76200"/>
                  <wp:effectExtent l="0" t="0" r="0" b="0"/>
                  <wp:docPr id="179" name="图片 9" descr="wp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9" descr="wps12"/>
                          <pic:cNvPicPr>
                            <a:picLocks noChangeAspect="1"/>
                          </pic:cNvPicPr>
                        </pic:nvPicPr>
                        <pic:blipFill>
                          <a:blip r:embed="rId124"/>
                          <a:stretch>
                            <a:fillRect/>
                          </a:stretch>
                        </pic:blipFill>
                        <pic:spPr>
                          <a:xfrm>
                            <a:off x="0" y="0"/>
                            <a:ext cx="495300" cy="76200"/>
                          </a:xfrm>
                          <a:prstGeom prst="rect">
                            <a:avLst/>
                          </a:prstGeom>
                          <a:noFill/>
                          <a:ln>
                            <a:noFill/>
                          </a:ln>
                        </pic:spPr>
                      </pic:pic>
                    </a:graphicData>
                  </a:graphic>
                </wp:inline>
              </w:drawing>
            </w:r>
          </w:p>
        </w:tc>
        <w:tc>
          <w:tcPr>
            <w:tcW w:w="97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overflowPunct w:val="0"/>
              <w:autoSpaceDE w:val="0"/>
              <w:autoSpaceDN w:val="0"/>
              <w:adjustRightInd w:val="0"/>
              <w:jc w:val="center"/>
              <w:textAlignment w:val="center"/>
              <w:outlineLvl w:val="9"/>
              <w:rPr>
                <w:rFonts w:ascii="仿宋" w:hAnsi="仿宋" w:eastAsia="仿宋" w:cs="仿宋"/>
                <w:b/>
                <w:bCs/>
                <w:sz w:val="24"/>
                <w:szCs w:val="24"/>
              </w:rPr>
            </w:pPr>
            <w:r>
              <w:rPr>
                <w:rFonts w:hint="eastAsia" w:ascii="仿宋" w:hAnsi="仿宋" w:eastAsia="仿宋" w:cs="仿宋"/>
                <w:b/>
                <w:bCs/>
              </w:rPr>
              <w:t>办银行卡</w:t>
            </w:r>
          </w:p>
        </w:tc>
        <w:tc>
          <w:tcPr>
            <w:tcW w:w="752" w:type="dxa"/>
            <w:tcBorders>
              <w:top w:val="nil"/>
              <w:left w:val="nil"/>
              <w:bottom w:val="nil"/>
              <w:right w:val="nil"/>
            </w:tcBorders>
            <w:tcMar>
              <w:top w:w="15" w:type="dxa"/>
              <w:left w:w="15" w:type="dxa"/>
              <w:bottom w:w="0" w:type="dxa"/>
              <w:right w:w="15" w:type="dxa"/>
            </w:tcMar>
            <w:vAlign w:val="center"/>
          </w:tcPr>
          <w:p>
            <w:pPr>
              <w:overflowPunct w:val="0"/>
              <w:autoSpaceDE w:val="0"/>
              <w:autoSpaceDN w:val="0"/>
              <w:adjustRightInd w:val="0"/>
              <w:jc w:val="center"/>
              <w:textAlignment w:val="center"/>
              <w:outlineLvl w:val="9"/>
              <w:rPr>
                <w:rFonts w:ascii="仿宋" w:hAnsi="仿宋" w:eastAsia="仿宋" w:cs="仿宋"/>
                <w:b/>
                <w:bCs/>
                <w:sz w:val="24"/>
                <w:szCs w:val="24"/>
              </w:rPr>
            </w:pPr>
            <w:r>
              <w:rPr>
                <w:rFonts w:ascii="仿宋" w:hAnsi="仿宋" w:eastAsia="仿宋" w:cs="仿宋"/>
              </w:rPr>
              <w:drawing>
                <wp:inline distT="0" distB="0" distL="114300" distR="114300">
                  <wp:extent cx="495300" cy="76200"/>
                  <wp:effectExtent l="0" t="0" r="0" b="0"/>
                  <wp:docPr id="178" name="图片 10" descr="wp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0" descr="wps12"/>
                          <pic:cNvPicPr>
                            <a:picLocks noChangeAspect="1"/>
                          </pic:cNvPicPr>
                        </pic:nvPicPr>
                        <pic:blipFill>
                          <a:blip r:embed="rId124"/>
                          <a:stretch>
                            <a:fillRect/>
                          </a:stretch>
                        </pic:blipFill>
                        <pic:spPr>
                          <a:xfrm>
                            <a:off x="0" y="0"/>
                            <a:ext cx="495300" cy="76200"/>
                          </a:xfrm>
                          <a:prstGeom prst="rect">
                            <a:avLst/>
                          </a:prstGeom>
                          <a:noFill/>
                          <a:ln>
                            <a:noFill/>
                          </a:ln>
                        </pic:spPr>
                      </pic:pic>
                    </a:graphicData>
                  </a:graphic>
                </wp:inline>
              </w:drawing>
            </w:r>
          </w:p>
        </w:tc>
        <w:tc>
          <w:tcPr>
            <w:tcW w:w="97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overflowPunct w:val="0"/>
              <w:autoSpaceDE w:val="0"/>
              <w:autoSpaceDN w:val="0"/>
              <w:adjustRightInd w:val="0"/>
              <w:jc w:val="center"/>
              <w:textAlignment w:val="center"/>
              <w:outlineLvl w:val="9"/>
              <w:rPr>
                <w:rFonts w:ascii="仿宋" w:hAnsi="仿宋" w:eastAsia="仿宋" w:cs="仿宋"/>
                <w:b/>
                <w:bCs/>
                <w:sz w:val="24"/>
                <w:szCs w:val="24"/>
              </w:rPr>
            </w:pPr>
            <w:r>
              <w:rPr>
                <w:rFonts w:hint="eastAsia" w:ascii="仿宋" w:hAnsi="仿宋" w:eastAsia="仿宋" w:cs="仿宋"/>
                <w:b/>
                <w:bCs/>
              </w:rPr>
              <w:t>发放到位</w:t>
            </w:r>
          </w:p>
        </w:tc>
        <w:tc>
          <w:tcPr>
            <w:tcW w:w="752" w:type="dxa"/>
            <w:tcBorders>
              <w:top w:val="nil"/>
              <w:left w:val="nil"/>
              <w:bottom w:val="nil"/>
              <w:right w:val="nil"/>
            </w:tcBorders>
            <w:tcMar>
              <w:top w:w="15" w:type="dxa"/>
              <w:left w:w="15" w:type="dxa"/>
              <w:bottom w:w="0" w:type="dxa"/>
              <w:right w:w="15" w:type="dxa"/>
            </w:tcMar>
            <w:vAlign w:val="center"/>
          </w:tcPr>
          <w:p>
            <w:pPr>
              <w:overflowPunct w:val="0"/>
              <w:autoSpaceDE w:val="0"/>
              <w:autoSpaceDN w:val="0"/>
              <w:adjustRightInd w:val="0"/>
              <w:jc w:val="center"/>
              <w:textAlignment w:val="center"/>
              <w:outlineLvl w:val="9"/>
              <w:rPr>
                <w:rFonts w:ascii="仿宋" w:hAnsi="仿宋" w:eastAsia="仿宋" w:cs="仿宋"/>
                <w:sz w:val="24"/>
                <w:szCs w:val="24"/>
              </w:rPr>
            </w:pPr>
            <w:r>
              <w:rPr>
                <w:rFonts w:ascii="仿宋" w:hAnsi="仿宋" w:eastAsia="仿宋" w:cs="仿宋"/>
              </w:rPr>
              <w:drawing>
                <wp:inline distT="0" distB="0" distL="114300" distR="114300">
                  <wp:extent cx="495300" cy="76200"/>
                  <wp:effectExtent l="0" t="0" r="0" b="0"/>
                  <wp:docPr id="177" name="图片 11" descr="wp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1" descr="wps12"/>
                          <pic:cNvPicPr>
                            <a:picLocks noChangeAspect="1"/>
                          </pic:cNvPicPr>
                        </pic:nvPicPr>
                        <pic:blipFill>
                          <a:blip r:embed="rId124"/>
                          <a:stretch>
                            <a:fillRect/>
                          </a:stretch>
                        </pic:blipFill>
                        <pic:spPr>
                          <a:xfrm>
                            <a:off x="0" y="0"/>
                            <a:ext cx="495300" cy="76200"/>
                          </a:xfrm>
                          <a:prstGeom prst="rect">
                            <a:avLst/>
                          </a:prstGeom>
                          <a:noFill/>
                          <a:ln>
                            <a:noFill/>
                          </a:ln>
                        </pic:spPr>
                      </pic:pic>
                    </a:graphicData>
                  </a:graphic>
                </wp:inline>
              </w:drawing>
            </w:r>
          </w:p>
        </w:tc>
        <w:tc>
          <w:tcPr>
            <w:tcW w:w="97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overflowPunct w:val="0"/>
              <w:autoSpaceDE w:val="0"/>
              <w:autoSpaceDN w:val="0"/>
              <w:adjustRightInd w:val="0"/>
              <w:jc w:val="center"/>
              <w:textAlignment w:val="center"/>
              <w:outlineLvl w:val="9"/>
              <w:rPr>
                <w:rFonts w:ascii="仿宋" w:hAnsi="仿宋" w:eastAsia="仿宋" w:cs="仿宋"/>
                <w:b/>
                <w:bCs/>
                <w:sz w:val="24"/>
                <w:szCs w:val="24"/>
              </w:rPr>
            </w:pPr>
            <w:r>
              <w:rPr>
                <w:rFonts w:hint="eastAsia" w:ascii="仿宋" w:hAnsi="仿宋" w:eastAsia="仿宋" w:cs="仿宋"/>
                <w:b/>
                <w:bCs/>
              </w:rPr>
              <w:t>通知监护人</w:t>
            </w:r>
          </w:p>
        </w:tc>
      </w:tr>
    </w:tbl>
    <w:p>
      <w:pPr>
        <w:keepNext/>
        <w:keepLines/>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outlineLvl w:val="9"/>
        <w:rPr>
          <w:rFonts w:hint="eastAsia" w:ascii="仿宋_GB2312" w:hAnsi="Times New Roman" w:eastAsia="仿宋_GB2312" w:cs="Times New Roman"/>
          <w:b w:val="0"/>
          <w:bCs w:val="0"/>
          <w:kern w:val="2"/>
          <w:sz w:val="28"/>
          <w:szCs w:val="28"/>
          <w:lang w:val="en-US" w:eastAsia="zh-CN" w:bidi="ar-SA"/>
        </w:rPr>
      </w:pPr>
      <w:bookmarkStart w:id="126" w:name="_Toc2220"/>
      <w:r>
        <w:rPr>
          <w:rFonts w:hint="eastAsia" w:ascii="仿宋_GB2312" w:hAnsi="Times New Roman" w:eastAsia="仿宋_GB2312" w:cs="Times New Roman"/>
          <w:b w:val="0"/>
          <w:bCs w:val="0"/>
          <w:kern w:val="2"/>
          <w:sz w:val="28"/>
          <w:szCs w:val="28"/>
          <w:lang w:val="en-US" w:eastAsia="zh-CN" w:bidi="ar-SA"/>
        </w:rPr>
        <w:t>2</w:t>
      </w:r>
      <w:r>
        <w:rPr>
          <w:rFonts w:hint="eastAsia" w:ascii="仿宋_GB2312" w:hAnsi="Times New Roman" w:eastAsia="仿宋_GB2312" w:cs="Times New Roman"/>
          <w:b w:val="0"/>
          <w:bCs w:val="0"/>
          <w:kern w:val="2"/>
          <w:sz w:val="28"/>
          <w:szCs w:val="28"/>
          <w:lang w:val="uk-UA" w:eastAsia="zh-CN" w:bidi="ar-SA"/>
        </w:rPr>
        <w:t>、国家免学费情况：</w:t>
      </w:r>
      <w:bookmarkEnd w:id="126"/>
    </w:p>
    <w:p>
      <w:pPr>
        <w:keepNext/>
        <w:keepLines/>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outlineLvl w:val="9"/>
        <w:rPr>
          <w:rFonts w:hint="eastAsia" w:ascii="仿宋_GB2312" w:hAnsi="Times New Roman" w:eastAsia="仿宋_GB2312" w:cs="Times New Roman"/>
          <w:b w:val="0"/>
          <w:bCs w:val="0"/>
          <w:kern w:val="2"/>
          <w:sz w:val="28"/>
          <w:szCs w:val="28"/>
          <w:lang w:val="en-US" w:eastAsia="zh-CN" w:bidi="ar-SA"/>
        </w:rPr>
      </w:pPr>
      <w:bookmarkStart w:id="127" w:name="_Toc28121"/>
      <w:r>
        <w:rPr>
          <w:rFonts w:hint="eastAsia" w:ascii="仿宋_GB2312" w:hAnsi="Times New Roman" w:eastAsia="仿宋_GB2312" w:cs="Times New Roman"/>
          <w:b w:val="0"/>
          <w:bCs w:val="0"/>
          <w:kern w:val="2"/>
          <w:sz w:val="28"/>
          <w:szCs w:val="28"/>
          <w:lang w:val="en-US" w:eastAsia="zh-CN" w:bidi="ar-SA"/>
        </w:rPr>
        <w:t>2021年春季657人。其中中专一年级211人，二年级210人，三年级177人，四年级26人，五年级33人。</w:t>
      </w:r>
      <w:bookmarkEnd w:id="127"/>
      <w:bookmarkStart w:id="128" w:name="_Toc31733"/>
      <w:r>
        <w:rPr>
          <w:rFonts w:hint="eastAsia" w:ascii="仿宋_GB2312" w:hAnsi="Times New Roman" w:eastAsia="仿宋_GB2312" w:cs="Times New Roman"/>
          <w:b w:val="0"/>
          <w:bCs w:val="0"/>
          <w:kern w:val="2"/>
          <w:sz w:val="28"/>
          <w:szCs w:val="28"/>
          <w:lang w:val="en-US" w:eastAsia="zh-CN" w:bidi="ar-SA"/>
        </w:rPr>
        <w:t>资助人数、金额: 2021年春季我校免学费全覆盖，共657人享受国家免学费资助。</w:t>
      </w:r>
      <w:bookmarkEnd w:id="128"/>
    </w:p>
    <w:p>
      <w:pPr>
        <w:keepNext/>
        <w:keepLines/>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outlineLvl w:val="9"/>
        <w:rPr>
          <w:rFonts w:hint="eastAsia" w:ascii="仿宋_GB2312" w:hAnsi="Times New Roman" w:eastAsia="仿宋_GB2312" w:cs="Times New Roman"/>
          <w:b w:val="0"/>
          <w:bCs w:val="0"/>
          <w:kern w:val="2"/>
          <w:sz w:val="28"/>
          <w:szCs w:val="28"/>
          <w:lang w:val="en-US" w:eastAsia="zh-CN" w:bidi="ar-SA"/>
        </w:rPr>
      </w:pPr>
      <w:bookmarkStart w:id="129" w:name="_Toc19110"/>
      <w:r>
        <w:rPr>
          <w:rFonts w:hint="eastAsia" w:ascii="仿宋_GB2312" w:hAnsi="Times New Roman" w:eastAsia="仿宋_GB2312" w:cs="Times New Roman"/>
          <w:b w:val="0"/>
          <w:bCs w:val="0"/>
          <w:kern w:val="2"/>
          <w:sz w:val="28"/>
          <w:szCs w:val="28"/>
          <w:lang w:val="en-US" w:eastAsia="zh-CN" w:bidi="ar-SA"/>
        </w:rPr>
        <w:t>2021年秋季725人。其中中专一年级233人，二年级205人，三年级208人，四年级53人，五年级26人。</w:t>
      </w:r>
      <w:bookmarkEnd w:id="129"/>
      <w:bookmarkStart w:id="130" w:name="_Toc7605"/>
      <w:r>
        <w:rPr>
          <w:rFonts w:hint="eastAsia" w:ascii="仿宋_GB2312" w:hAnsi="Times New Roman" w:eastAsia="仿宋_GB2312" w:cs="Times New Roman"/>
          <w:b w:val="0"/>
          <w:bCs w:val="0"/>
          <w:kern w:val="2"/>
          <w:sz w:val="28"/>
          <w:szCs w:val="28"/>
          <w:lang w:val="en-US" w:eastAsia="zh-CN" w:bidi="ar-SA"/>
        </w:rPr>
        <w:t>资助人数、金额: 2021年秋季我校免学费全覆盖，共725人享受国家免学费资助。</w:t>
      </w:r>
      <w:bookmarkEnd w:id="130"/>
    </w:p>
    <w:p>
      <w:pPr>
        <w:keepNext/>
        <w:keepLines/>
        <w:pageBreakBefore w:val="0"/>
        <w:widowControl w:val="0"/>
        <w:numPr>
          <w:ilvl w:val="0"/>
          <w:numId w:val="0"/>
        </w:numPr>
        <w:kinsoku/>
        <w:wordWrap/>
        <w:overflowPunct/>
        <w:topLinePunct w:val="0"/>
        <w:autoSpaceDE/>
        <w:autoSpaceDN/>
        <w:bidi w:val="0"/>
        <w:adjustRightInd/>
        <w:snapToGrid/>
        <w:spacing w:line="240" w:lineRule="auto"/>
        <w:ind w:firstLine="562" w:firstLineChars="200"/>
        <w:jc w:val="center"/>
        <w:textAlignment w:val="auto"/>
        <w:outlineLvl w:val="9"/>
        <w:rPr>
          <w:rFonts w:hint="eastAsia" w:ascii="仿宋_GB2312" w:hAnsi="Times New Roman" w:eastAsia="仿宋_GB2312" w:cs="Times New Roman"/>
          <w:b/>
          <w:bCs/>
          <w:kern w:val="2"/>
          <w:sz w:val="28"/>
          <w:szCs w:val="28"/>
          <w:lang w:val="en-US" w:eastAsia="zh-CN" w:bidi="ar-SA"/>
        </w:rPr>
      </w:pPr>
      <w:bookmarkStart w:id="131" w:name="_Toc10386"/>
      <w:r>
        <w:rPr>
          <w:rFonts w:hint="eastAsia" w:ascii="仿宋_GB2312" w:hAnsi="Times New Roman" w:eastAsia="仿宋_GB2312" w:cs="Times New Roman"/>
          <w:b/>
          <w:bCs/>
          <w:kern w:val="2"/>
          <w:sz w:val="28"/>
          <w:szCs w:val="28"/>
          <w:lang w:val="en-US" w:eastAsia="zh-CN" w:bidi="ar-SA"/>
        </w:rPr>
        <w:t>2021</w:t>
      </w:r>
      <w:r>
        <w:rPr>
          <w:rFonts w:hint="eastAsia" w:ascii="仿宋_GB2312" w:hAnsi="Times New Roman" w:eastAsia="仿宋_GB2312" w:cs="Times New Roman"/>
          <w:b/>
          <w:bCs/>
          <w:kern w:val="2"/>
          <w:sz w:val="28"/>
          <w:szCs w:val="28"/>
          <w:lang w:val="uk-UA" w:eastAsia="zh-CN" w:bidi="ar-SA"/>
        </w:rPr>
        <w:t>年免学费情况统计表</w:t>
      </w:r>
      <w:bookmarkEnd w:id="131"/>
    </w:p>
    <w:tbl>
      <w:tblPr>
        <w:tblStyle w:val="14"/>
        <w:tblpPr w:leftFromText="180" w:rightFromText="180" w:vertAnchor="text" w:horzAnchor="margin" w:tblpXSpec="center" w:tblpY="1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634"/>
        <w:gridCol w:w="1937"/>
        <w:gridCol w:w="2446"/>
        <w:gridCol w:w="1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905" w:type="dxa"/>
            <w:tcBorders>
              <w:top w:val="single" w:color="8064A2" w:sz="8" w:space="0"/>
              <w:left w:val="single" w:color="8064A2" w:sz="8" w:space="0"/>
              <w:bottom w:val="single" w:color="FFFFFF" w:sz="18" w:space="0"/>
              <w:right w:val="single" w:color="8064A2" w:sz="8" w:space="0"/>
            </w:tcBorders>
            <w:shd w:val="clear" w:color="auto" w:fill="8064A2"/>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lang w:val="uk-UA"/>
              </w:rPr>
              <w:t>学期</w:t>
            </w:r>
          </w:p>
        </w:tc>
        <w:tc>
          <w:tcPr>
            <w:tcW w:w="1634" w:type="dxa"/>
            <w:tcBorders>
              <w:top w:val="single" w:color="8064A2" w:sz="8" w:space="0"/>
              <w:left w:val="single" w:color="8064A2" w:sz="8" w:space="0"/>
              <w:bottom w:val="single" w:color="FFFFFF" w:sz="18" w:space="0"/>
              <w:right w:val="single" w:color="8064A2" w:sz="8" w:space="0"/>
            </w:tcBorders>
            <w:shd w:val="clear" w:color="auto" w:fill="8064A2"/>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lang w:val="uk-UA"/>
              </w:rPr>
              <w:t>年级</w:t>
            </w:r>
          </w:p>
        </w:tc>
        <w:tc>
          <w:tcPr>
            <w:tcW w:w="1937" w:type="dxa"/>
            <w:tcBorders>
              <w:top w:val="single" w:color="8064A2" w:sz="8" w:space="0"/>
              <w:left w:val="single" w:color="8064A2" w:sz="8" w:space="0"/>
              <w:bottom w:val="single" w:color="FFFFFF" w:sz="18" w:space="0"/>
              <w:right w:val="single" w:color="8064A2" w:sz="8" w:space="0"/>
            </w:tcBorders>
            <w:shd w:val="clear" w:color="auto" w:fill="8064A2"/>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lang w:val="uk-UA"/>
              </w:rPr>
              <w:t>受助人数（人）</w:t>
            </w:r>
          </w:p>
        </w:tc>
        <w:tc>
          <w:tcPr>
            <w:tcW w:w="2446" w:type="dxa"/>
            <w:tcBorders>
              <w:top w:val="single" w:color="8064A2" w:sz="8" w:space="0"/>
              <w:left w:val="single" w:color="8064A2" w:sz="8" w:space="0"/>
              <w:bottom w:val="single" w:color="FFFFFF" w:sz="18" w:space="0"/>
              <w:right w:val="single" w:color="8064A2" w:sz="8" w:space="0"/>
            </w:tcBorders>
            <w:shd w:val="clear" w:color="auto" w:fill="8064A2"/>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lang w:val="uk-UA"/>
              </w:rPr>
              <w:t>资助标准</w:t>
            </w:r>
          </w:p>
        </w:tc>
        <w:tc>
          <w:tcPr>
            <w:tcW w:w="1535" w:type="dxa"/>
            <w:tcBorders>
              <w:top w:val="single" w:color="8064A2" w:sz="8" w:space="0"/>
              <w:left w:val="single" w:color="8064A2" w:sz="8" w:space="0"/>
              <w:bottom w:val="single" w:color="FFFFFF" w:sz="18" w:space="0"/>
              <w:right w:val="single" w:color="8064A2" w:sz="8" w:space="0"/>
            </w:tcBorders>
            <w:shd w:val="clear" w:color="auto" w:fill="8064A2"/>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lang w:val="uk-UA"/>
              </w:rPr>
              <w:t>小计（元）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905" w:type="dxa"/>
            <w:vMerge w:val="restart"/>
            <w:tcBorders>
              <w:top w:val="single" w:color="FFFFFF" w:sz="18" w:space="0"/>
              <w:left w:val="single" w:color="8064A2" w:sz="8" w:space="0"/>
              <w:right w:val="single" w:color="8064A2" w:sz="8" w:space="0"/>
            </w:tcBorders>
            <w:shd w:val="clear" w:color="auto" w:fill="CCC1D9"/>
            <w:vAlign w:val="center"/>
          </w:tcPr>
          <w:p>
            <w:pPr>
              <w:jc w:val="center"/>
              <w:outlineLvl w:val="9"/>
              <w:rPr>
                <w:rFonts w:ascii="仿宋_GB2312" w:hAnsi="仿宋_GB2312" w:eastAsia="仿宋_GB2312" w:cs="仿宋_GB2312"/>
                <w:b/>
                <w:bCs/>
              </w:rPr>
            </w:pPr>
            <w:r>
              <w:rPr>
                <w:rFonts w:hint="eastAsia" w:ascii="仿宋_GB2312" w:hAnsi="Times New Roman" w:eastAsia="仿宋_GB2312" w:cs="Times New Roman"/>
                <w:b/>
                <w:bCs/>
                <w:kern w:val="2"/>
                <w:sz w:val="21"/>
                <w:szCs w:val="21"/>
                <w:lang w:val="uk-UA" w:eastAsia="zh-CN" w:bidi="ar-SA"/>
              </w:rPr>
              <w:t>秋季</w:t>
            </w:r>
          </w:p>
        </w:tc>
        <w:tc>
          <w:tcPr>
            <w:tcW w:w="1634" w:type="dxa"/>
            <w:tcBorders>
              <w:top w:val="single" w:color="FFFFFF" w:sz="18" w:space="0"/>
              <w:left w:val="single" w:color="8064A2" w:sz="8" w:space="0"/>
              <w:bottom w:val="single" w:color="8064A2" w:sz="8" w:space="0"/>
              <w:right w:val="single" w:color="8064A2" w:sz="8" w:space="0"/>
            </w:tcBorders>
            <w:shd w:val="clear" w:color="auto" w:fill="CCC1D9"/>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rPr>
              <w:t>201</w:t>
            </w:r>
            <w:r>
              <w:rPr>
                <w:rFonts w:hint="eastAsia" w:ascii="仿宋_GB2312" w:hAnsi="仿宋_GB2312" w:cs="仿宋_GB2312" w:eastAsiaTheme="minorEastAsia"/>
              </w:rPr>
              <w:t>7</w:t>
            </w:r>
            <w:r>
              <w:rPr>
                <w:rFonts w:hint="eastAsia" w:ascii="仿宋_GB2312" w:hAnsi="仿宋_GB2312" w:eastAsia="仿宋_GB2312" w:cs="仿宋_GB2312"/>
                <w:lang w:val="uk-UA"/>
              </w:rPr>
              <w:t>级</w:t>
            </w:r>
          </w:p>
        </w:tc>
        <w:tc>
          <w:tcPr>
            <w:tcW w:w="1937" w:type="dxa"/>
            <w:tcBorders>
              <w:top w:val="single" w:color="FFFFFF" w:sz="18" w:space="0"/>
              <w:left w:val="single" w:color="8064A2" w:sz="8" w:space="0"/>
              <w:bottom w:val="single" w:color="auto" w:sz="4" w:space="0"/>
              <w:right w:val="single" w:color="8064A2" w:sz="8" w:space="0"/>
            </w:tcBorders>
            <w:shd w:val="clear" w:color="auto" w:fill="CCC1D9"/>
            <w:vAlign w:val="center"/>
          </w:tcPr>
          <w:p>
            <w:pPr>
              <w:jc w:val="center"/>
              <w:outlineLvl w:val="9"/>
              <w:rPr>
                <w:rFonts w:hint="eastAsia" w:ascii="仿宋_GB2312" w:hAnsi="仿宋_GB2312" w:cs="仿宋_GB2312" w:eastAsiaTheme="minorEastAsia"/>
              </w:rPr>
            </w:pPr>
            <w:r>
              <w:rPr>
                <w:rFonts w:hint="eastAsia" w:ascii="仿宋_GB2312" w:hAnsi="仿宋_GB2312" w:cs="仿宋_GB2312" w:eastAsiaTheme="minorEastAsia"/>
              </w:rPr>
              <w:t>26</w:t>
            </w:r>
          </w:p>
        </w:tc>
        <w:tc>
          <w:tcPr>
            <w:tcW w:w="2446" w:type="dxa"/>
            <w:vMerge w:val="restart"/>
            <w:tcBorders>
              <w:top w:val="single" w:color="FFFFFF" w:sz="18" w:space="0"/>
              <w:left w:val="single" w:color="8064A2" w:sz="8" w:space="0"/>
              <w:right w:val="single" w:color="8064A2" w:sz="8" w:space="0"/>
            </w:tcBorders>
            <w:shd w:val="clear" w:color="auto" w:fill="CCC1D9"/>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rPr>
              <w:t>2000</w:t>
            </w:r>
            <w:r>
              <w:rPr>
                <w:rFonts w:hint="eastAsia" w:ascii="仿宋_GB2312" w:hAnsi="仿宋_GB2312" w:eastAsia="仿宋_GB2312" w:cs="仿宋_GB2312"/>
                <w:lang w:val="uk-UA"/>
              </w:rPr>
              <w:t>元</w:t>
            </w:r>
            <w:r>
              <w:rPr>
                <w:rFonts w:hint="eastAsia" w:ascii="仿宋_GB2312" w:hAnsi="仿宋_GB2312" w:eastAsia="仿宋_GB2312" w:cs="仿宋_GB2312"/>
              </w:rPr>
              <w:t>/</w:t>
            </w:r>
            <w:r>
              <w:rPr>
                <w:rFonts w:hint="eastAsia" w:ascii="仿宋_GB2312" w:hAnsi="仿宋_GB2312" w:eastAsia="仿宋_GB2312" w:cs="仿宋_GB2312"/>
                <w:lang w:val="uk-UA"/>
              </w:rPr>
              <w:t>学期</w:t>
            </w:r>
            <w:r>
              <w:rPr>
                <w:rFonts w:hint="eastAsia" w:ascii="仿宋_GB2312" w:hAnsi="仿宋_GB2312" w:eastAsia="仿宋_GB2312" w:cs="仿宋_GB2312"/>
              </w:rPr>
              <w:t>/</w:t>
            </w:r>
            <w:r>
              <w:rPr>
                <w:rFonts w:hint="eastAsia" w:ascii="仿宋_GB2312" w:hAnsi="仿宋_GB2312" w:eastAsia="仿宋_GB2312" w:cs="仿宋_GB2312"/>
                <w:lang w:val="uk-UA"/>
              </w:rPr>
              <w:t>人</w:t>
            </w:r>
          </w:p>
        </w:tc>
        <w:tc>
          <w:tcPr>
            <w:tcW w:w="1535" w:type="dxa"/>
            <w:tcBorders>
              <w:top w:val="single" w:color="FFFFFF" w:sz="18" w:space="0"/>
              <w:left w:val="single" w:color="8064A2" w:sz="8" w:space="0"/>
              <w:bottom w:val="single" w:color="auto" w:sz="4" w:space="0"/>
              <w:right w:val="single" w:color="8064A2" w:sz="8" w:space="0"/>
            </w:tcBorders>
            <w:shd w:val="clear" w:color="auto" w:fill="CCC1D9"/>
            <w:vAlign w:val="center"/>
          </w:tcPr>
          <w:p>
            <w:pPr>
              <w:jc w:val="center"/>
              <w:outlineLvl w:val="9"/>
              <w:rPr>
                <w:rFonts w:ascii="仿宋_GB2312" w:hAnsi="仿宋_GB2312" w:eastAsia="仿宋_GB2312" w:cs="仿宋_GB2312"/>
              </w:rPr>
            </w:pPr>
            <w:r>
              <w:rPr>
                <w:rFonts w:hint="eastAsia" w:ascii="仿宋_GB2312" w:hAnsi="仿宋_GB2312" w:cs="仿宋_GB2312" w:eastAsiaTheme="minorEastAsia"/>
              </w:rPr>
              <w:t>52</w:t>
            </w:r>
            <w:r>
              <w:rPr>
                <w:rFonts w:hint="eastAsia" w:ascii="仿宋_GB2312" w:hAnsi="仿宋_GB2312" w:eastAsia="仿宋_GB2312" w:cs="仿宋_GB2312"/>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905" w:type="dxa"/>
            <w:vMerge w:val="continue"/>
            <w:tcBorders>
              <w:left w:val="single" w:color="8064A2" w:sz="8" w:space="0"/>
              <w:right w:val="single" w:color="8064A2" w:sz="8" w:space="0"/>
            </w:tcBorders>
            <w:shd w:val="clear" w:color="auto" w:fill="auto"/>
            <w:vAlign w:val="center"/>
          </w:tcPr>
          <w:p>
            <w:pPr>
              <w:outlineLvl w:val="9"/>
              <w:rPr>
                <w:rFonts w:ascii="仿宋_GB2312" w:hAnsi="仿宋_GB2312" w:eastAsia="仿宋_GB2312" w:cs="仿宋_GB2312"/>
                <w:b/>
                <w:bCs/>
              </w:rPr>
            </w:pPr>
          </w:p>
        </w:tc>
        <w:tc>
          <w:tcPr>
            <w:tcW w:w="1634" w:type="dxa"/>
            <w:tcBorders>
              <w:top w:val="single" w:color="8064A2" w:sz="8" w:space="0"/>
              <w:left w:val="single" w:color="8064A2" w:sz="8" w:space="0"/>
              <w:bottom w:val="single" w:color="8064A2" w:sz="8" w:space="0"/>
              <w:right w:val="single" w:color="auto" w:sz="4" w:space="0"/>
            </w:tcBorders>
            <w:shd w:val="clear" w:color="auto" w:fill="FFFFFF"/>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rPr>
              <w:t>20</w:t>
            </w:r>
            <w:r>
              <w:rPr>
                <w:rFonts w:hint="eastAsia" w:ascii="仿宋_GB2312" w:hAnsi="仿宋_GB2312" w:cs="仿宋_GB2312" w:eastAsiaTheme="minorEastAsia"/>
              </w:rPr>
              <w:t>18</w:t>
            </w:r>
            <w:r>
              <w:rPr>
                <w:rFonts w:hint="eastAsia" w:ascii="仿宋_GB2312" w:hAnsi="仿宋_GB2312" w:eastAsia="仿宋_GB2312" w:cs="仿宋_GB2312"/>
                <w:lang w:val="uk-UA"/>
              </w:rPr>
              <w:t>级</w:t>
            </w:r>
          </w:p>
        </w:tc>
        <w:tc>
          <w:tcPr>
            <w:tcW w:w="1937" w:type="dxa"/>
            <w:tcBorders>
              <w:top w:val="single" w:color="auto" w:sz="4" w:space="0"/>
              <w:left w:val="single" w:color="auto" w:sz="4" w:space="0"/>
              <w:bottom w:val="single" w:color="auto" w:sz="4" w:space="0"/>
              <w:right w:val="single" w:color="8064A2" w:sz="8" w:space="0"/>
            </w:tcBorders>
            <w:shd w:val="clear" w:color="auto" w:fill="FFFFFF"/>
            <w:vAlign w:val="center"/>
          </w:tcPr>
          <w:p>
            <w:pPr>
              <w:jc w:val="center"/>
              <w:outlineLvl w:val="9"/>
              <w:rPr>
                <w:rFonts w:ascii="仿宋_GB2312" w:hAnsi="仿宋_GB2312" w:eastAsia="仿宋_GB2312" w:cs="仿宋_GB2312"/>
              </w:rPr>
            </w:pPr>
            <w:r>
              <w:rPr>
                <w:rFonts w:hint="eastAsia" w:ascii="仿宋_GB2312" w:hAnsi="仿宋_GB2312" w:cs="仿宋_GB2312" w:eastAsiaTheme="minorEastAsia"/>
              </w:rPr>
              <w:t>5</w:t>
            </w:r>
            <w:r>
              <w:rPr>
                <w:rFonts w:hint="eastAsia" w:ascii="仿宋_GB2312" w:hAnsi="仿宋_GB2312" w:eastAsia="仿宋_GB2312" w:cs="仿宋_GB2312"/>
              </w:rPr>
              <w:t>3</w:t>
            </w:r>
          </w:p>
        </w:tc>
        <w:tc>
          <w:tcPr>
            <w:tcW w:w="2446" w:type="dxa"/>
            <w:vMerge w:val="continue"/>
            <w:tcBorders>
              <w:left w:val="single" w:color="8064A2" w:sz="8" w:space="0"/>
              <w:right w:val="single" w:color="8064A2" w:sz="8" w:space="0"/>
            </w:tcBorders>
            <w:shd w:val="clear" w:color="auto" w:fill="auto"/>
            <w:vAlign w:val="center"/>
          </w:tcPr>
          <w:p>
            <w:pPr>
              <w:jc w:val="center"/>
              <w:outlineLvl w:val="9"/>
              <w:rPr>
                <w:rFonts w:ascii="仿宋_GB2312" w:hAnsi="仿宋_GB2312" w:eastAsia="仿宋_GB2312" w:cs="仿宋_GB2312"/>
              </w:rPr>
            </w:pPr>
          </w:p>
        </w:tc>
        <w:tc>
          <w:tcPr>
            <w:tcW w:w="1535" w:type="dxa"/>
            <w:tcBorders>
              <w:top w:val="single" w:color="auto" w:sz="4" w:space="0"/>
              <w:left w:val="single" w:color="8064A2" w:sz="8" w:space="0"/>
              <w:bottom w:val="single" w:color="auto" w:sz="4" w:space="0"/>
              <w:right w:val="single" w:color="auto" w:sz="4" w:space="0"/>
            </w:tcBorders>
            <w:shd w:val="clear" w:color="auto" w:fill="FFFFFF"/>
            <w:vAlign w:val="center"/>
          </w:tcPr>
          <w:p>
            <w:pPr>
              <w:jc w:val="center"/>
              <w:outlineLvl w:val="9"/>
              <w:rPr>
                <w:rFonts w:ascii="仿宋_GB2312" w:hAnsi="仿宋_GB2312" w:eastAsia="仿宋_GB2312" w:cs="仿宋_GB2312"/>
              </w:rPr>
            </w:pPr>
            <w:r>
              <w:rPr>
                <w:rFonts w:hint="eastAsia" w:ascii="仿宋_GB2312" w:hAnsi="仿宋_GB2312" w:cs="仿宋_GB2312" w:eastAsiaTheme="minorEastAsia"/>
              </w:rPr>
              <w:t>106</w:t>
            </w:r>
            <w:r>
              <w:rPr>
                <w:rFonts w:hint="eastAsia" w:ascii="仿宋_GB2312" w:hAnsi="仿宋_GB2312" w:eastAsia="仿宋_GB2312" w:cs="仿宋_GB2312"/>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905" w:type="dxa"/>
            <w:vMerge w:val="continue"/>
            <w:tcBorders>
              <w:left w:val="single" w:color="8064A2" w:sz="8" w:space="0"/>
              <w:right w:val="single" w:color="8064A2" w:sz="8" w:space="0"/>
            </w:tcBorders>
            <w:shd w:val="clear" w:color="auto" w:fill="auto"/>
            <w:vAlign w:val="center"/>
          </w:tcPr>
          <w:p>
            <w:pPr>
              <w:outlineLvl w:val="9"/>
              <w:rPr>
                <w:rFonts w:ascii="仿宋_GB2312" w:hAnsi="仿宋_GB2312" w:eastAsia="仿宋_GB2312" w:cs="仿宋_GB2312"/>
                <w:b/>
                <w:bCs/>
              </w:rPr>
            </w:pPr>
          </w:p>
        </w:tc>
        <w:tc>
          <w:tcPr>
            <w:tcW w:w="1634" w:type="dxa"/>
            <w:tcBorders>
              <w:top w:val="single" w:color="8064A2" w:sz="8" w:space="0"/>
              <w:left w:val="single" w:color="8064A2" w:sz="8" w:space="0"/>
              <w:bottom w:val="single" w:color="8064A2" w:sz="8" w:space="0"/>
              <w:right w:val="single" w:color="auto" w:sz="4" w:space="0"/>
            </w:tcBorders>
            <w:shd w:val="clear" w:color="auto" w:fill="CCC1D9"/>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rPr>
              <w:t>20</w:t>
            </w:r>
            <w:r>
              <w:rPr>
                <w:rFonts w:hint="eastAsia" w:ascii="仿宋_GB2312" w:hAnsi="仿宋_GB2312" w:cs="仿宋_GB2312" w:eastAsiaTheme="minorEastAsia"/>
              </w:rPr>
              <w:t>19</w:t>
            </w:r>
            <w:r>
              <w:rPr>
                <w:rFonts w:hint="eastAsia" w:ascii="仿宋_GB2312" w:hAnsi="仿宋_GB2312" w:eastAsia="仿宋_GB2312" w:cs="仿宋_GB2312"/>
                <w:lang w:val="uk-UA"/>
              </w:rPr>
              <w:t>级</w:t>
            </w:r>
          </w:p>
        </w:tc>
        <w:tc>
          <w:tcPr>
            <w:tcW w:w="1937" w:type="dxa"/>
            <w:tcBorders>
              <w:top w:val="single" w:color="auto" w:sz="4" w:space="0"/>
              <w:left w:val="single" w:color="auto" w:sz="4" w:space="0"/>
              <w:bottom w:val="single" w:color="auto" w:sz="4" w:space="0"/>
              <w:right w:val="single" w:color="8064A2" w:sz="8" w:space="0"/>
            </w:tcBorders>
            <w:shd w:val="clear" w:color="auto" w:fill="CCC1D9"/>
            <w:vAlign w:val="center"/>
          </w:tcPr>
          <w:p>
            <w:pPr>
              <w:jc w:val="center"/>
              <w:outlineLvl w:val="9"/>
              <w:rPr>
                <w:rFonts w:hint="eastAsia" w:ascii="仿宋_GB2312" w:hAnsi="仿宋_GB2312" w:cs="仿宋_GB2312" w:eastAsiaTheme="minorEastAsia"/>
              </w:rPr>
            </w:pPr>
            <w:r>
              <w:rPr>
                <w:rFonts w:hint="eastAsia" w:ascii="仿宋_GB2312" w:hAnsi="仿宋_GB2312" w:cs="仿宋_GB2312" w:eastAsiaTheme="minorEastAsia"/>
              </w:rPr>
              <w:t>208</w:t>
            </w:r>
          </w:p>
        </w:tc>
        <w:tc>
          <w:tcPr>
            <w:tcW w:w="2446" w:type="dxa"/>
            <w:vMerge w:val="continue"/>
            <w:tcBorders>
              <w:left w:val="single" w:color="8064A2" w:sz="8" w:space="0"/>
              <w:right w:val="single" w:color="8064A2" w:sz="8" w:space="0"/>
            </w:tcBorders>
            <w:shd w:val="clear" w:color="auto" w:fill="auto"/>
            <w:vAlign w:val="center"/>
          </w:tcPr>
          <w:p>
            <w:pPr>
              <w:jc w:val="center"/>
              <w:outlineLvl w:val="9"/>
              <w:rPr>
                <w:rFonts w:ascii="仿宋_GB2312" w:hAnsi="仿宋_GB2312" w:eastAsia="仿宋_GB2312" w:cs="仿宋_GB2312"/>
              </w:rPr>
            </w:pPr>
          </w:p>
        </w:tc>
        <w:tc>
          <w:tcPr>
            <w:tcW w:w="1535" w:type="dxa"/>
            <w:tcBorders>
              <w:top w:val="single" w:color="auto" w:sz="4" w:space="0"/>
              <w:left w:val="single" w:color="8064A2" w:sz="8" w:space="0"/>
              <w:bottom w:val="single" w:color="auto" w:sz="4" w:space="0"/>
              <w:right w:val="single" w:color="auto" w:sz="4" w:space="0"/>
            </w:tcBorders>
            <w:shd w:val="clear" w:color="auto" w:fill="CCC1D9"/>
            <w:vAlign w:val="center"/>
          </w:tcPr>
          <w:p>
            <w:pPr>
              <w:jc w:val="center"/>
              <w:outlineLvl w:val="9"/>
              <w:rPr>
                <w:rFonts w:ascii="仿宋_GB2312" w:hAnsi="仿宋_GB2312" w:eastAsia="仿宋_GB2312" w:cs="仿宋_GB2312"/>
              </w:rPr>
            </w:pPr>
            <w:r>
              <w:rPr>
                <w:rFonts w:hint="eastAsia" w:ascii="仿宋_GB2312" w:hAnsi="仿宋_GB2312" w:cs="仿宋_GB2312" w:eastAsiaTheme="minorEastAsia"/>
              </w:rPr>
              <w:t>416</w:t>
            </w:r>
            <w:r>
              <w:rPr>
                <w:rFonts w:hint="eastAsia" w:ascii="仿宋_GB2312" w:hAnsi="仿宋_GB2312" w:eastAsia="仿宋_GB2312" w:cs="仿宋_GB2312"/>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905" w:type="dxa"/>
            <w:vMerge w:val="continue"/>
            <w:tcBorders>
              <w:left w:val="single" w:color="8064A2" w:sz="8" w:space="0"/>
              <w:right w:val="single" w:color="8064A2" w:sz="8" w:space="0"/>
            </w:tcBorders>
            <w:shd w:val="clear" w:color="auto" w:fill="auto"/>
            <w:vAlign w:val="center"/>
          </w:tcPr>
          <w:p>
            <w:pPr>
              <w:outlineLvl w:val="9"/>
              <w:rPr>
                <w:rFonts w:ascii="仿宋_GB2312" w:hAnsi="仿宋_GB2312" w:eastAsia="仿宋_GB2312" w:cs="仿宋_GB2312"/>
                <w:b/>
                <w:bCs/>
              </w:rPr>
            </w:pPr>
          </w:p>
        </w:tc>
        <w:tc>
          <w:tcPr>
            <w:tcW w:w="1634"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rPr>
              <w:t>20</w:t>
            </w:r>
            <w:r>
              <w:rPr>
                <w:rFonts w:hint="eastAsia" w:ascii="仿宋_GB2312" w:hAnsi="仿宋_GB2312" w:cs="仿宋_GB2312" w:eastAsiaTheme="minorEastAsia"/>
              </w:rPr>
              <w:t>20</w:t>
            </w:r>
            <w:r>
              <w:rPr>
                <w:rFonts w:hint="eastAsia" w:ascii="仿宋_GB2312" w:hAnsi="仿宋_GB2312" w:eastAsia="仿宋_GB2312" w:cs="仿宋_GB2312"/>
                <w:lang w:val="uk-UA"/>
              </w:rPr>
              <w:t>级</w:t>
            </w:r>
          </w:p>
        </w:tc>
        <w:tc>
          <w:tcPr>
            <w:tcW w:w="1937" w:type="dxa"/>
            <w:tcBorders>
              <w:top w:val="single" w:color="auto" w:sz="4" w:space="0"/>
              <w:left w:val="single" w:color="8064A2" w:sz="8" w:space="0"/>
              <w:right w:val="single" w:color="8064A2" w:sz="8" w:space="0"/>
            </w:tcBorders>
            <w:shd w:val="clear" w:color="auto" w:fill="FFFFFF"/>
            <w:vAlign w:val="center"/>
          </w:tcPr>
          <w:p>
            <w:pPr>
              <w:jc w:val="center"/>
              <w:outlineLvl w:val="9"/>
              <w:rPr>
                <w:rFonts w:hint="eastAsia" w:ascii="仿宋_GB2312" w:hAnsi="仿宋_GB2312" w:cs="仿宋_GB2312" w:eastAsiaTheme="minorEastAsia"/>
              </w:rPr>
            </w:pPr>
            <w:r>
              <w:rPr>
                <w:rFonts w:hint="eastAsia" w:ascii="仿宋_GB2312" w:hAnsi="仿宋_GB2312" w:cs="仿宋_GB2312" w:eastAsiaTheme="minorEastAsia"/>
              </w:rPr>
              <w:t>205</w:t>
            </w:r>
          </w:p>
        </w:tc>
        <w:tc>
          <w:tcPr>
            <w:tcW w:w="2446" w:type="dxa"/>
            <w:vMerge w:val="continue"/>
            <w:tcBorders>
              <w:left w:val="single" w:color="8064A2" w:sz="8" w:space="0"/>
              <w:right w:val="single" w:color="8064A2" w:sz="8" w:space="0"/>
            </w:tcBorders>
            <w:shd w:val="clear" w:color="auto" w:fill="FFFFFF"/>
            <w:vAlign w:val="center"/>
          </w:tcPr>
          <w:p>
            <w:pPr>
              <w:jc w:val="center"/>
              <w:outlineLvl w:val="9"/>
              <w:rPr>
                <w:rFonts w:ascii="仿宋_GB2312" w:hAnsi="仿宋_GB2312" w:eastAsia="仿宋_GB2312" w:cs="仿宋_GB2312"/>
              </w:rPr>
            </w:pPr>
          </w:p>
        </w:tc>
        <w:tc>
          <w:tcPr>
            <w:tcW w:w="1535" w:type="dxa"/>
            <w:tcBorders>
              <w:top w:val="single" w:color="auto" w:sz="4" w:space="0"/>
              <w:left w:val="single" w:color="8064A2" w:sz="8" w:space="0"/>
              <w:right w:val="single" w:color="8064A2" w:sz="8" w:space="0"/>
            </w:tcBorders>
            <w:shd w:val="clear" w:color="auto" w:fill="FFFFFF"/>
            <w:vAlign w:val="center"/>
          </w:tcPr>
          <w:p>
            <w:pPr>
              <w:jc w:val="center"/>
              <w:outlineLvl w:val="9"/>
              <w:rPr>
                <w:rFonts w:ascii="仿宋_GB2312" w:hAnsi="仿宋_GB2312" w:eastAsia="仿宋_GB2312" w:cs="仿宋_GB2312"/>
              </w:rPr>
            </w:pPr>
            <w:r>
              <w:rPr>
                <w:rFonts w:hint="eastAsia" w:ascii="仿宋_GB2312" w:hAnsi="仿宋_GB2312" w:cs="仿宋_GB2312" w:eastAsiaTheme="minorEastAsia"/>
              </w:rPr>
              <w:t>410</w:t>
            </w:r>
            <w:r>
              <w:rPr>
                <w:rFonts w:hint="eastAsia" w:ascii="仿宋_GB2312" w:hAnsi="仿宋_GB2312" w:eastAsia="仿宋_GB2312" w:cs="仿宋_GB2312"/>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905" w:type="dxa"/>
            <w:vMerge w:val="continue"/>
            <w:tcBorders>
              <w:left w:val="single" w:color="8064A2" w:sz="8" w:space="0"/>
              <w:right w:val="single" w:color="8064A2" w:sz="8" w:space="0"/>
            </w:tcBorders>
            <w:shd w:val="clear" w:color="auto" w:fill="auto"/>
            <w:vAlign w:val="center"/>
          </w:tcPr>
          <w:p>
            <w:pPr>
              <w:outlineLvl w:val="9"/>
              <w:rPr>
                <w:rFonts w:ascii="仿宋_GB2312" w:hAnsi="仿宋_GB2312" w:eastAsia="仿宋_GB2312" w:cs="仿宋_GB2312"/>
                <w:b/>
                <w:bCs/>
              </w:rPr>
            </w:pPr>
          </w:p>
        </w:tc>
        <w:tc>
          <w:tcPr>
            <w:tcW w:w="1634"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rPr>
              <w:t>20</w:t>
            </w:r>
            <w:r>
              <w:rPr>
                <w:rFonts w:hint="eastAsia" w:ascii="仿宋_GB2312" w:hAnsi="仿宋_GB2312" w:cs="仿宋_GB2312" w:eastAsiaTheme="minorEastAsia"/>
              </w:rPr>
              <w:t>21</w:t>
            </w:r>
            <w:r>
              <w:rPr>
                <w:rFonts w:hint="eastAsia" w:ascii="仿宋_GB2312" w:hAnsi="仿宋_GB2312" w:eastAsia="仿宋_GB2312" w:cs="仿宋_GB2312"/>
              </w:rPr>
              <w:t>级</w:t>
            </w:r>
          </w:p>
        </w:tc>
        <w:tc>
          <w:tcPr>
            <w:tcW w:w="1937" w:type="dxa"/>
            <w:tcBorders>
              <w:left w:val="single" w:color="8064A2" w:sz="8" w:space="0"/>
              <w:bottom w:val="single" w:color="8064A2" w:sz="8" w:space="0"/>
              <w:right w:val="single" w:color="8064A2" w:sz="8" w:space="0"/>
            </w:tcBorders>
            <w:shd w:val="clear" w:color="auto" w:fill="FFFFFF"/>
            <w:vAlign w:val="center"/>
          </w:tcPr>
          <w:p>
            <w:pPr>
              <w:jc w:val="center"/>
              <w:outlineLvl w:val="9"/>
              <w:rPr>
                <w:rFonts w:hint="eastAsia" w:ascii="仿宋_GB2312" w:hAnsi="仿宋_GB2312" w:cs="仿宋_GB2312" w:eastAsiaTheme="minorEastAsia"/>
              </w:rPr>
            </w:pPr>
            <w:r>
              <w:rPr>
                <w:rFonts w:hint="eastAsia" w:ascii="仿宋_GB2312" w:hAnsi="仿宋_GB2312" w:eastAsia="仿宋_GB2312" w:cs="仿宋_GB2312"/>
              </w:rPr>
              <w:t>2</w:t>
            </w:r>
            <w:r>
              <w:rPr>
                <w:rFonts w:hint="eastAsia" w:ascii="仿宋_GB2312" w:hAnsi="仿宋_GB2312" w:cs="仿宋_GB2312" w:eastAsiaTheme="minorEastAsia"/>
              </w:rPr>
              <w:t>33</w:t>
            </w:r>
          </w:p>
        </w:tc>
        <w:tc>
          <w:tcPr>
            <w:tcW w:w="2446" w:type="dxa"/>
            <w:vMerge w:val="continue"/>
            <w:tcBorders>
              <w:left w:val="single" w:color="8064A2" w:sz="8" w:space="0"/>
              <w:right w:val="single" w:color="8064A2" w:sz="8" w:space="0"/>
            </w:tcBorders>
            <w:shd w:val="clear" w:color="auto" w:fill="FFFFFF"/>
            <w:vAlign w:val="center"/>
          </w:tcPr>
          <w:p>
            <w:pPr>
              <w:jc w:val="center"/>
              <w:outlineLvl w:val="9"/>
              <w:rPr>
                <w:rFonts w:ascii="仿宋_GB2312" w:hAnsi="仿宋_GB2312" w:eastAsia="仿宋_GB2312" w:cs="仿宋_GB2312"/>
              </w:rPr>
            </w:pPr>
          </w:p>
        </w:tc>
        <w:tc>
          <w:tcPr>
            <w:tcW w:w="1535" w:type="dxa"/>
            <w:tcBorders>
              <w:left w:val="single" w:color="8064A2" w:sz="8" w:space="0"/>
              <w:bottom w:val="single" w:color="8064A2" w:sz="8" w:space="0"/>
              <w:right w:val="single" w:color="8064A2" w:sz="8" w:space="0"/>
            </w:tcBorders>
            <w:shd w:val="clear" w:color="auto" w:fill="FFFFFF"/>
            <w:vAlign w:val="center"/>
          </w:tcPr>
          <w:p>
            <w:pPr>
              <w:jc w:val="center"/>
              <w:outlineLvl w:val="9"/>
              <w:rPr>
                <w:rFonts w:ascii="仿宋_GB2312" w:hAnsi="仿宋_GB2312" w:eastAsia="仿宋_GB2312" w:cs="仿宋_GB2312"/>
              </w:rPr>
            </w:pPr>
            <w:r>
              <w:rPr>
                <w:rFonts w:hint="eastAsia" w:ascii="仿宋_GB2312" w:hAnsi="仿宋_GB2312" w:cs="仿宋_GB2312" w:eastAsiaTheme="minorEastAsia"/>
              </w:rPr>
              <w:t>466</w:t>
            </w:r>
            <w:r>
              <w:rPr>
                <w:rFonts w:hint="eastAsia" w:ascii="仿宋_GB2312" w:hAnsi="仿宋_GB2312" w:eastAsia="仿宋_GB2312" w:cs="仿宋_GB2312"/>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905" w:type="dxa"/>
            <w:vMerge w:val="continue"/>
            <w:tcBorders>
              <w:left w:val="single" w:color="8064A2" w:sz="8" w:space="0"/>
              <w:bottom w:val="single" w:color="8064A2" w:sz="8" w:space="0"/>
              <w:right w:val="single" w:color="8064A2" w:sz="8" w:space="0"/>
            </w:tcBorders>
            <w:shd w:val="clear" w:color="auto" w:fill="auto"/>
            <w:vAlign w:val="center"/>
          </w:tcPr>
          <w:p>
            <w:pPr>
              <w:outlineLvl w:val="9"/>
              <w:rPr>
                <w:rFonts w:ascii="仿宋_GB2312" w:hAnsi="仿宋_GB2312" w:eastAsia="仿宋_GB2312" w:cs="仿宋_GB2312"/>
                <w:b/>
                <w:bCs/>
              </w:rPr>
            </w:pPr>
          </w:p>
        </w:tc>
        <w:tc>
          <w:tcPr>
            <w:tcW w:w="1634"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lang w:val="uk-UA"/>
              </w:rPr>
              <w:t>小计</w:t>
            </w:r>
          </w:p>
        </w:tc>
        <w:tc>
          <w:tcPr>
            <w:tcW w:w="1937"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outlineLvl w:val="9"/>
              <w:rPr>
                <w:rFonts w:hint="eastAsia" w:ascii="仿宋_GB2312" w:hAnsi="仿宋_GB2312" w:cs="仿宋_GB2312" w:eastAsiaTheme="minorEastAsia"/>
              </w:rPr>
            </w:pPr>
            <w:r>
              <w:rPr>
                <w:rFonts w:hint="eastAsia" w:ascii="仿宋_GB2312" w:hAnsi="仿宋_GB2312" w:cs="仿宋_GB2312" w:eastAsiaTheme="minorEastAsia"/>
              </w:rPr>
              <w:t>725</w:t>
            </w:r>
          </w:p>
        </w:tc>
        <w:tc>
          <w:tcPr>
            <w:tcW w:w="2446" w:type="dxa"/>
            <w:vMerge w:val="continue"/>
            <w:tcBorders>
              <w:left w:val="single" w:color="8064A2" w:sz="8" w:space="0"/>
              <w:bottom w:val="single" w:color="auto" w:sz="4" w:space="0"/>
              <w:right w:val="single" w:color="8064A2" w:sz="8" w:space="0"/>
            </w:tcBorders>
            <w:shd w:val="clear" w:color="auto" w:fill="CCC1D9"/>
            <w:vAlign w:val="center"/>
          </w:tcPr>
          <w:p>
            <w:pPr>
              <w:jc w:val="center"/>
              <w:outlineLvl w:val="9"/>
              <w:rPr>
                <w:rFonts w:ascii="仿宋_GB2312" w:hAnsi="仿宋_GB2312" w:eastAsia="仿宋_GB2312" w:cs="仿宋_GB2312"/>
              </w:rPr>
            </w:pPr>
          </w:p>
        </w:tc>
        <w:tc>
          <w:tcPr>
            <w:tcW w:w="1535"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outlineLvl w:val="9"/>
              <w:rPr>
                <w:rFonts w:ascii="仿宋_GB2312" w:hAnsi="仿宋_GB2312" w:eastAsia="仿宋_GB2312" w:cs="仿宋_GB2312"/>
              </w:rPr>
            </w:pPr>
            <w:r>
              <w:rPr>
                <w:rFonts w:hint="eastAsia" w:ascii="仿宋_GB2312" w:hAnsi="仿宋_GB2312" w:cs="仿宋_GB2312" w:eastAsiaTheme="minorEastAsia"/>
              </w:rPr>
              <w:t>1450</w:t>
            </w:r>
            <w:r>
              <w:rPr>
                <w:rFonts w:hint="eastAsia" w:ascii="仿宋_GB2312" w:hAnsi="仿宋_GB2312" w:eastAsia="仿宋_GB2312" w:cs="仿宋_GB2312"/>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905" w:type="dxa"/>
            <w:vMerge w:val="restart"/>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outlineLvl w:val="9"/>
              <w:rPr>
                <w:rFonts w:ascii="仿宋_GB2312" w:hAnsi="仿宋_GB2312" w:eastAsia="仿宋_GB2312" w:cs="仿宋_GB2312"/>
                <w:b/>
                <w:bCs/>
              </w:rPr>
            </w:pPr>
            <w:r>
              <w:rPr>
                <w:rFonts w:hint="eastAsia" w:ascii="仿宋_GB2312" w:hAnsi="Times New Roman" w:eastAsia="仿宋_GB2312" w:cs="Times New Roman"/>
                <w:b/>
                <w:bCs/>
                <w:kern w:val="2"/>
                <w:sz w:val="21"/>
                <w:szCs w:val="21"/>
                <w:lang w:val="uk-UA" w:eastAsia="zh-CN" w:bidi="ar-SA"/>
              </w:rPr>
              <w:t>春季</w:t>
            </w:r>
          </w:p>
        </w:tc>
        <w:tc>
          <w:tcPr>
            <w:tcW w:w="1634"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rPr>
              <w:t>2016</w:t>
            </w:r>
            <w:r>
              <w:rPr>
                <w:rFonts w:hint="eastAsia" w:ascii="仿宋_GB2312" w:hAnsi="仿宋_GB2312" w:eastAsia="仿宋_GB2312" w:cs="仿宋_GB2312"/>
                <w:lang w:val="uk-UA"/>
              </w:rPr>
              <w:t>级</w:t>
            </w:r>
          </w:p>
        </w:tc>
        <w:tc>
          <w:tcPr>
            <w:tcW w:w="1937" w:type="dxa"/>
            <w:tcBorders>
              <w:top w:val="single" w:color="8064A2" w:sz="8" w:space="0"/>
              <w:left w:val="single" w:color="8064A2" w:sz="8" w:space="0"/>
              <w:bottom w:val="single" w:color="8064A2" w:sz="8" w:space="0"/>
              <w:right w:val="single" w:color="auto" w:sz="4" w:space="0"/>
            </w:tcBorders>
            <w:shd w:val="clear" w:color="auto" w:fill="FFFFFF"/>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rPr>
              <w:t>33</w:t>
            </w:r>
          </w:p>
        </w:tc>
        <w:tc>
          <w:tcPr>
            <w:tcW w:w="2446" w:type="dxa"/>
            <w:vMerge w:val="restart"/>
            <w:tcBorders>
              <w:top w:val="single" w:color="auto" w:sz="4" w:space="0"/>
              <w:left w:val="single" w:color="auto" w:sz="4" w:space="0"/>
              <w:right w:val="single" w:color="auto" w:sz="4" w:space="0"/>
            </w:tcBorders>
            <w:shd w:val="clear" w:color="auto" w:fill="FFFFFF"/>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rPr>
              <w:t>2000</w:t>
            </w:r>
            <w:r>
              <w:rPr>
                <w:rFonts w:hint="eastAsia" w:ascii="仿宋_GB2312" w:hAnsi="仿宋_GB2312" w:eastAsia="仿宋_GB2312" w:cs="仿宋_GB2312"/>
                <w:lang w:val="uk-UA"/>
              </w:rPr>
              <w:t>元</w:t>
            </w:r>
            <w:r>
              <w:rPr>
                <w:rFonts w:hint="eastAsia" w:ascii="仿宋_GB2312" w:hAnsi="仿宋_GB2312" w:eastAsia="仿宋_GB2312" w:cs="仿宋_GB2312"/>
              </w:rPr>
              <w:t>/</w:t>
            </w:r>
            <w:r>
              <w:rPr>
                <w:rFonts w:hint="eastAsia" w:ascii="仿宋_GB2312" w:hAnsi="仿宋_GB2312" w:eastAsia="仿宋_GB2312" w:cs="仿宋_GB2312"/>
                <w:lang w:val="uk-UA"/>
              </w:rPr>
              <w:t>学期</w:t>
            </w:r>
            <w:r>
              <w:rPr>
                <w:rFonts w:hint="eastAsia" w:ascii="仿宋_GB2312" w:hAnsi="仿宋_GB2312" w:eastAsia="仿宋_GB2312" w:cs="仿宋_GB2312"/>
              </w:rPr>
              <w:t>/</w:t>
            </w:r>
            <w:r>
              <w:rPr>
                <w:rFonts w:hint="eastAsia" w:ascii="仿宋_GB2312" w:hAnsi="仿宋_GB2312" w:eastAsia="仿宋_GB2312" w:cs="仿宋_GB2312"/>
                <w:lang w:val="uk-UA"/>
              </w:rPr>
              <w:t>人</w:t>
            </w:r>
          </w:p>
          <w:p>
            <w:pPr>
              <w:jc w:val="center"/>
              <w:outlineLvl w:val="9"/>
              <w:rPr>
                <w:rFonts w:ascii="仿宋_GB2312" w:hAnsi="仿宋_GB2312" w:eastAsia="仿宋_GB2312" w:cs="仿宋_GB2312"/>
              </w:rPr>
            </w:pPr>
          </w:p>
        </w:tc>
        <w:tc>
          <w:tcPr>
            <w:tcW w:w="1535" w:type="dxa"/>
            <w:tcBorders>
              <w:top w:val="single" w:color="8064A2" w:sz="8" w:space="0"/>
              <w:left w:val="single" w:color="auto" w:sz="4" w:space="0"/>
              <w:bottom w:val="single" w:color="8064A2" w:sz="8" w:space="0"/>
              <w:right w:val="single" w:color="8064A2" w:sz="8" w:space="0"/>
            </w:tcBorders>
            <w:shd w:val="clear" w:color="auto" w:fill="FFFFFF"/>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rPr>
              <w:t>66000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905" w:type="dxa"/>
            <w:vMerge w:val="continue"/>
            <w:tcBorders>
              <w:top w:val="single" w:color="8064A2" w:sz="8" w:space="0"/>
              <w:left w:val="single" w:color="8064A2" w:sz="8" w:space="0"/>
              <w:bottom w:val="single" w:color="8064A2" w:sz="8" w:space="0"/>
              <w:right w:val="single" w:color="8064A2" w:sz="8" w:space="0"/>
            </w:tcBorders>
            <w:shd w:val="clear" w:color="auto" w:fill="auto"/>
            <w:vAlign w:val="center"/>
          </w:tcPr>
          <w:p>
            <w:pPr>
              <w:outlineLvl w:val="9"/>
              <w:rPr>
                <w:rFonts w:ascii="仿宋_GB2312" w:hAnsi="仿宋_GB2312" w:eastAsia="仿宋_GB2312" w:cs="仿宋_GB2312"/>
              </w:rPr>
            </w:pPr>
          </w:p>
        </w:tc>
        <w:tc>
          <w:tcPr>
            <w:tcW w:w="1634"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rPr>
              <w:t>2017</w:t>
            </w:r>
            <w:r>
              <w:rPr>
                <w:rFonts w:hint="eastAsia" w:ascii="仿宋_GB2312" w:hAnsi="仿宋_GB2312" w:eastAsia="仿宋_GB2312" w:cs="仿宋_GB2312"/>
                <w:lang w:val="uk-UA"/>
              </w:rPr>
              <w:t>级</w:t>
            </w:r>
          </w:p>
        </w:tc>
        <w:tc>
          <w:tcPr>
            <w:tcW w:w="1937" w:type="dxa"/>
            <w:tcBorders>
              <w:top w:val="single" w:color="8064A2" w:sz="8" w:space="0"/>
              <w:left w:val="single" w:color="8064A2" w:sz="8" w:space="0"/>
              <w:bottom w:val="single" w:color="8064A2" w:sz="8" w:space="0"/>
              <w:right w:val="single" w:color="auto" w:sz="4" w:space="0"/>
            </w:tcBorders>
            <w:shd w:val="clear" w:color="auto" w:fill="CCC1D9"/>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rPr>
              <w:t>26</w:t>
            </w:r>
          </w:p>
        </w:tc>
        <w:tc>
          <w:tcPr>
            <w:tcW w:w="2446" w:type="dxa"/>
            <w:vMerge w:val="continue"/>
            <w:tcBorders>
              <w:left w:val="single" w:color="auto" w:sz="4" w:space="0"/>
              <w:right w:val="single" w:color="auto" w:sz="4" w:space="0"/>
            </w:tcBorders>
            <w:shd w:val="clear" w:color="auto" w:fill="auto"/>
            <w:vAlign w:val="center"/>
          </w:tcPr>
          <w:p>
            <w:pPr>
              <w:jc w:val="center"/>
              <w:outlineLvl w:val="9"/>
              <w:rPr>
                <w:rFonts w:ascii="仿宋_GB2312" w:hAnsi="仿宋_GB2312" w:eastAsia="仿宋_GB2312" w:cs="仿宋_GB2312"/>
              </w:rPr>
            </w:pPr>
          </w:p>
        </w:tc>
        <w:tc>
          <w:tcPr>
            <w:tcW w:w="1535" w:type="dxa"/>
            <w:tcBorders>
              <w:top w:val="single" w:color="8064A2" w:sz="8" w:space="0"/>
              <w:left w:val="single" w:color="auto" w:sz="4" w:space="0"/>
              <w:bottom w:val="single" w:color="8064A2" w:sz="8" w:space="0"/>
              <w:right w:val="single" w:color="8064A2" w:sz="8" w:space="0"/>
            </w:tcBorders>
            <w:shd w:val="clear" w:color="auto" w:fill="CCC1D9"/>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rPr>
              <w:t>52000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905" w:type="dxa"/>
            <w:vMerge w:val="continue"/>
            <w:tcBorders>
              <w:top w:val="single" w:color="8064A2" w:sz="8" w:space="0"/>
              <w:left w:val="single" w:color="8064A2" w:sz="8" w:space="0"/>
              <w:bottom w:val="single" w:color="8064A2" w:sz="8" w:space="0"/>
              <w:right w:val="single" w:color="8064A2" w:sz="8" w:space="0"/>
            </w:tcBorders>
            <w:shd w:val="clear" w:color="auto" w:fill="auto"/>
            <w:vAlign w:val="center"/>
          </w:tcPr>
          <w:p>
            <w:pPr>
              <w:outlineLvl w:val="9"/>
              <w:rPr>
                <w:rFonts w:ascii="仿宋_GB2312" w:hAnsi="仿宋_GB2312" w:eastAsia="仿宋_GB2312" w:cs="仿宋_GB2312"/>
              </w:rPr>
            </w:pPr>
          </w:p>
        </w:tc>
        <w:tc>
          <w:tcPr>
            <w:tcW w:w="1634"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rPr>
              <w:t>2018</w:t>
            </w:r>
            <w:r>
              <w:rPr>
                <w:rFonts w:hint="eastAsia" w:ascii="仿宋_GB2312" w:hAnsi="仿宋_GB2312" w:eastAsia="仿宋_GB2312" w:cs="仿宋_GB2312"/>
                <w:lang w:val="uk-UA"/>
              </w:rPr>
              <w:t>级</w:t>
            </w:r>
          </w:p>
        </w:tc>
        <w:tc>
          <w:tcPr>
            <w:tcW w:w="1937" w:type="dxa"/>
            <w:tcBorders>
              <w:top w:val="single" w:color="8064A2" w:sz="8" w:space="0"/>
              <w:left w:val="single" w:color="8064A2" w:sz="8" w:space="0"/>
              <w:bottom w:val="single" w:color="8064A2" w:sz="8" w:space="0"/>
              <w:right w:val="single" w:color="auto" w:sz="4" w:space="0"/>
            </w:tcBorders>
            <w:shd w:val="clear" w:color="auto" w:fill="FFFFFF"/>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rPr>
              <w:t>177</w:t>
            </w:r>
          </w:p>
        </w:tc>
        <w:tc>
          <w:tcPr>
            <w:tcW w:w="2446" w:type="dxa"/>
            <w:vMerge w:val="continue"/>
            <w:tcBorders>
              <w:left w:val="single" w:color="auto" w:sz="4" w:space="0"/>
              <w:right w:val="single" w:color="auto" w:sz="4" w:space="0"/>
            </w:tcBorders>
            <w:shd w:val="clear" w:color="auto" w:fill="FFFFFF"/>
            <w:vAlign w:val="center"/>
          </w:tcPr>
          <w:p>
            <w:pPr>
              <w:jc w:val="center"/>
              <w:outlineLvl w:val="9"/>
              <w:rPr>
                <w:rFonts w:ascii="仿宋_GB2312" w:hAnsi="仿宋_GB2312" w:eastAsia="仿宋_GB2312" w:cs="仿宋_GB2312"/>
              </w:rPr>
            </w:pPr>
          </w:p>
        </w:tc>
        <w:tc>
          <w:tcPr>
            <w:tcW w:w="1535" w:type="dxa"/>
            <w:tcBorders>
              <w:top w:val="single" w:color="8064A2" w:sz="8" w:space="0"/>
              <w:left w:val="single" w:color="auto" w:sz="4" w:space="0"/>
              <w:bottom w:val="single" w:color="8064A2" w:sz="8" w:space="0"/>
              <w:right w:val="single" w:color="8064A2" w:sz="8" w:space="0"/>
            </w:tcBorders>
            <w:shd w:val="clear" w:color="auto" w:fill="FFFFFF"/>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rPr>
              <w:t>354000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905" w:type="dxa"/>
            <w:vMerge w:val="continue"/>
            <w:tcBorders>
              <w:top w:val="single" w:color="8064A2" w:sz="8" w:space="0"/>
              <w:left w:val="single" w:color="8064A2" w:sz="8" w:space="0"/>
              <w:bottom w:val="single" w:color="8064A2" w:sz="8" w:space="0"/>
              <w:right w:val="single" w:color="8064A2" w:sz="8" w:space="0"/>
            </w:tcBorders>
            <w:shd w:val="clear" w:color="auto" w:fill="auto"/>
            <w:vAlign w:val="center"/>
          </w:tcPr>
          <w:p>
            <w:pPr>
              <w:outlineLvl w:val="9"/>
              <w:rPr>
                <w:rFonts w:ascii="仿宋_GB2312" w:hAnsi="仿宋_GB2312" w:eastAsia="仿宋_GB2312" w:cs="仿宋_GB2312"/>
              </w:rPr>
            </w:pPr>
          </w:p>
        </w:tc>
        <w:tc>
          <w:tcPr>
            <w:tcW w:w="1634"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rPr>
              <w:t>2019</w:t>
            </w:r>
            <w:r>
              <w:rPr>
                <w:rFonts w:hint="eastAsia" w:ascii="仿宋_GB2312" w:hAnsi="仿宋_GB2312" w:eastAsia="仿宋_GB2312" w:cs="仿宋_GB2312"/>
                <w:lang w:val="uk-UA"/>
              </w:rPr>
              <w:t>级</w:t>
            </w:r>
          </w:p>
        </w:tc>
        <w:tc>
          <w:tcPr>
            <w:tcW w:w="1937" w:type="dxa"/>
            <w:tcBorders>
              <w:top w:val="single" w:color="8064A2" w:sz="8" w:space="0"/>
              <w:left w:val="single" w:color="8064A2" w:sz="8" w:space="0"/>
              <w:bottom w:val="single" w:color="8064A2" w:sz="8" w:space="0"/>
              <w:right w:val="single" w:color="auto" w:sz="4" w:space="0"/>
            </w:tcBorders>
            <w:shd w:val="clear" w:color="auto" w:fill="CCC1D9"/>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rPr>
              <w:t>210</w:t>
            </w:r>
          </w:p>
        </w:tc>
        <w:tc>
          <w:tcPr>
            <w:tcW w:w="2446" w:type="dxa"/>
            <w:vMerge w:val="continue"/>
            <w:tcBorders>
              <w:left w:val="single" w:color="auto" w:sz="4" w:space="0"/>
              <w:right w:val="single" w:color="auto" w:sz="4" w:space="0"/>
            </w:tcBorders>
            <w:shd w:val="clear" w:color="auto" w:fill="CCC1D9"/>
            <w:vAlign w:val="center"/>
          </w:tcPr>
          <w:p>
            <w:pPr>
              <w:jc w:val="center"/>
              <w:outlineLvl w:val="9"/>
              <w:rPr>
                <w:rFonts w:ascii="仿宋_GB2312" w:hAnsi="仿宋_GB2312" w:eastAsia="仿宋_GB2312" w:cs="仿宋_GB2312"/>
              </w:rPr>
            </w:pPr>
          </w:p>
        </w:tc>
        <w:tc>
          <w:tcPr>
            <w:tcW w:w="1535" w:type="dxa"/>
            <w:tcBorders>
              <w:top w:val="single" w:color="8064A2" w:sz="8" w:space="0"/>
              <w:left w:val="single" w:color="auto" w:sz="4" w:space="0"/>
              <w:bottom w:val="single" w:color="8064A2" w:sz="8" w:space="0"/>
              <w:right w:val="single" w:color="8064A2" w:sz="8" w:space="0"/>
            </w:tcBorders>
            <w:shd w:val="clear" w:color="auto" w:fill="CCC1D9"/>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rPr>
              <w:t>420000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905" w:type="dxa"/>
            <w:vMerge w:val="continue"/>
            <w:tcBorders>
              <w:top w:val="single" w:color="8064A2" w:sz="8" w:space="0"/>
              <w:left w:val="single" w:color="8064A2" w:sz="8" w:space="0"/>
              <w:bottom w:val="single" w:color="8064A2" w:sz="8" w:space="0"/>
              <w:right w:val="single" w:color="8064A2" w:sz="8" w:space="0"/>
            </w:tcBorders>
            <w:shd w:val="clear" w:color="auto" w:fill="auto"/>
            <w:vAlign w:val="center"/>
          </w:tcPr>
          <w:p>
            <w:pPr>
              <w:outlineLvl w:val="9"/>
              <w:rPr>
                <w:rFonts w:ascii="仿宋_GB2312" w:hAnsi="仿宋_GB2312" w:eastAsia="仿宋_GB2312" w:cs="仿宋_GB2312"/>
              </w:rPr>
            </w:pPr>
          </w:p>
        </w:tc>
        <w:tc>
          <w:tcPr>
            <w:tcW w:w="1634" w:type="dxa"/>
            <w:tcBorders>
              <w:top w:val="single" w:color="8064A2" w:sz="8" w:space="0"/>
              <w:left w:val="single" w:color="8064A2" w:sz="8" w:space="0"/>
              <w:bottom w:val="single" w:color="8064A2" w:sz="8" w:space="0"/>
              <w:right w:val="single" w:color="8064A2" w:sz="8" w:space="0"/>
            </w:tcBorders>
            <w:shd w:val="clear" w:color="auto" w:fill="FFFFFF"/>
            <w:vAlign w:val="center"/>
          </w:tcPr>
          <w:p>
            <w:pPr>
              <w:ind w:firstLine="315" w:firstLineChars="150"/>
              <w:outlineLvl w:val="9"/>
              <w:rPr>
                <w:rFonts w:ascii="仿宋_GB2312" w:hAnsi="仿宋_GB2312" w:eastAsia="仿宋_GB2312" w:cs="仿宋_GB2312"/>
              </w:rPr>
            </w:pPr>
            <w:r>
              <w:rPr>
                <w:rFonts w:hint="eastAsia" w:ascii="仿宋_GB2312" w:hAnsi="仿宋_GB2312" w:eastAsia="仿宋_GB2312" w:cs="仿宋_GB2312"/>
              </w:rPr>
              <w:t>2020</w:t>
            </w:r>
            <w:r>
              <w:rPr>
                <w:rFonts w:hint="eastAsia" w:ascii="仿宋_GB2312" w:hAnsi="仿宋_GB2312" w:eastAsia="仿宋_GB2312" w:cs="仿宋_GB2312"/>
                <w:lang w:val="uk-UA"/>
              </w:rPr>
              <w:t>级</w:t>
            </w:r>
          </w:p>
        </w:tc>
        <w:tc>
          <w:tcPr>
            <w:tcW w:w="1937" w:type="dxa"/>
            <w:tcBorders>
              <w:top w:val="single" w:color="8064A2" w:sz="8" w:space="0"/>
              <w:left w:val="single" w:color="8064A2" w:sz="8" w:space="0"/>
              <w:bottom w:val="single" w:color="8064A2" w:sz="8" w:space="0"/>
              <w:right w:val="single" w:color="auto" w:sz="4" w:space="0"/>
            </w:tcBorders>
            <w:shd w:val="clear" w:color="auto" w:fill="FFFFFF"/>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rPr>
              <w:t>211</w:t>
            </w:r>
          </w:p>
        </w:tc>
        <w:tc>
          <w:tcPr>
            <w:tcW w:w="2446" w:type="dxa"/>
            <w:vMerge w:val="continue"/>
            <w:tcBorders>
              <w:left w:val="single" w:color="auto" w:sz="4" w:space="0"/>
              <w:right w:val="single" w:color="auto" w:sz="4" w:space="0"/>
            </w:tcBorders>
            <w:shd w:val="clear" w:color="auto" w:fill="FFFFFF"/>
            <w:vAlign w:val="center"/>
          </w:tcPr>
          <w:p>
            <w:pPr>
              <w:jc w:val="center"/>
              <w:outlineLvl w:val="9"/>
              <w:rPr>
                <w:rFonts w:ascii="仿宋_GB2312" w:hAnsi="仿宋_GB2312" w:eastAsia="仿宋_GB2312" w:cs="仿宋_GB2312"/>
              </w:rPr>
            </w:pPr>
          </w:p>
        </w:tc>
        <w:tc>
          <w:tcPr>
            <w:tcW w:w="1535" w:type="dxa"/>
            <w:tcBorders>
              <w:top w:val="single" w:color="8064A2" w:sz="8" w:space="0"/>
              <w:left w:val="single" w:color="auto" w:sz="4" w:space="0"/>
              <w:bottom w:val="single" w:color="8064A2" w:sz="8" w:space="0"/>
              <w:right w:val="single" w:color="8064A2" w:sz="8" w:space="0"/>
            </w:tcBorders>
            <w:shd w:val="clear" w:color="auto" w:fill="FFFFFF"/>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rPr>
              <w:t>422000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905" w:type="dxa"/>
            <w:vMerge w:val="continue"/>
            <w:tcBorders>
              <w:top w:val="single" w:color="8064A2" w:sz="8" w:space="0"/>
              <w:left w:val="single" w:color="8064A2" w:sz="8" w:space="0"/>
              <w:bottom w:val="single" w:color="8064A2" w:sz="8" w:space="0"/>
              <w:right w:val="single" w:color="8064A2" w:sz="8" w:space="0"/>
            </w:tcBorders>
            <w:shd w:val="clear" w:color="auto" w:fill="auto"/>
            <w:vAlign w:val="center"/>
          </w:tcPr>
          <w:p>
            <w:pPr>
              <w:outlineLvl w:val="9"/>
              <w:rPr>
                <w:rFonts w:ascii="仿宋_GB2312" w:hAnsi="仿宋_GB2312" w:eastAsia="仿宋_GB2312" w:cs="仿宋_GB2312"/>
              </w:rPr>
            </w:pPr>
          </w:p>
        </w:tc>
        <w:tc>
          <w:tcPr>
            <w:tcW w:w="1634" w:type="dxa"/>
            <w:tcBorders>
              <w:top w:val="single" w:color="8064A2" w:sz="8" w:space="0"/>
              <w:left w:val="single" w:color="8064A2" w:sz="8" w:space="0"/>
              <w:bottom w:val="single" w:color="8064A2" w:sz="8" w:space="0"/>
              <w:right w:val="single" w:color="8064A2" w:sz="8" w:space="0"/>
            </w:tcBorders>
            <w:shd w:val="clear" w:color="auto" w:fill="CCC1D9"/>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lang w:val="uk-UA"/>
              </w:rPr>
              <w:t>小计</w:t>
            </w:r>
          </w:p>
        </w:tc>
        <w:tc>
          <w:tcPr>
            <w:tcW w:w="1937" w:type="dxa"/>
            <w:tcBorders>
              <w:top w:val="single" w:color="8064A2" w:sz="8" w:space="0"/>
              <w:left w:val="single" w:color="8064A2" w:sz="8" w:space="0"/>
              <w:bottom w:val="single" w:color="8064A2" w:sz="8" w:space="0"/>
              <w:right w:val="single" w:color="auto" w:sz="4" w:space="0"/>
            </w:tcBorders>
            <w:shd w:val="clear" w:color="auto" w:fill="CCC1D9"/>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rPr>
              <w:t>657</w:t>
            </w:r>
          </w:p>
        </w:tc>
        <w:tc>
          <w:tcPr>
            <w:tcW w:w="2446" w:type="dxa"/>
            <w:vMerge w:val="continue"/>
            <w:tcBorders>
              <w:left w:val="single" w:color="auto" w:sz="4" w:space="0"/>
              <w:bottom w:val="single" w:color="auto" w:sz="4" w:space="0"/>
              <w:right w:val="single" w:color="auto" w:sz="4" w:space="0"/>
            </w:tcBorders>
            <w:shd w:val="clear" w:color="auto" w:fill="CCC1D9"/>
            <w:vAlign w:val="center"/>
          </w:tcPr>
          <w:p>
            <w:pPr>
              <w:jc w:val="center"/>
              <w:outlineLvl w:val="9"/>
              <w:rPr>
                <w:rFonts w:ascii="仿宋_GB2312" w:hAnsi="仿宋_GB2312" w:eastAsia="仿宋_GB2312" w:cs="仿宋_GB2312"/>
              </w:rPr>
            </w:pPr>
          </w:p>
        </w:tc>
        <w:tc>
          <w:tcPr>
            <w:tcW w:w="1535" w:type="dxa"/>
            <w:tcBorders>
              <w:top w:val="single" w:color="8064A2" w:sz="8" w:space="0"/>
              <w:left w:val="single" w:color="auto" w:sz="4" w:space="0"/>
              <w:bottom w:val="single" w:color="8064A2" w:sz="8" w:space="0"/>
              <w:right w:val="single" w:color="8064A2" w:sz="8" w:space="0"/>
            </w:tcBorders>
            <w:shd w:val="clear" w:color="auto" w:fill="CCC1D9"/>
            <w:vAlign w:val="center"/>
          </w:tcPr>
          <w:p>
            <w:pPr>
              <w:jc w:val="center"/>
              <w:outlineLvl w:val="9"/>
              <w:rPr>
                <w:rFonts w:ascii="仿宋_GB2312" w:hAnsi="仿宋_GB2312" w:eastAsia="仿宋_GB2312" w:cs="仿宋_GB2312"/>
              </w:rPr>
            </w:pPr>
            <w:r>
              <w:rPr>
                <w:rFonts w:hint="eastAsia" w:ascii="仿宋_GB2312" w:hAnsi="仿宋_GB2312" w:eastAsia="仿宋_GB2312" w:cs="仿宋_GB2312"/>
              </w:rPr>
              <w:t>1314000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2539" w:type="dxa"/>
            <w:gridSpan w:val="2"/>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outlineLvl w:val="9"/>
              <w:rPr>
                <w:rFonts w:ascii="仿宋_GB2312" w:hAnsi="仿宋_GB2312" w:eastAsia="仿宋_GB2312" w:cs="仿宋_GB2312"/>
              </w:rPr>
            </w:pPr>
            <w:r>
              <w:rPr>
                <w:rFonts w:hint="eastAsia" w:ascii="仿宋_GB2312" w:hAnsi="Times New Roman" w:eastAsia="仿宋_GB2312" w:cs="Times New Roman"/>
                <w:b/>
                <w:bCs/>
                <w:kern w:val="2"/>
                <w:sz w:val="21"/>
                <w:szCs w:val="21"/>
                <w:lang w:val="uk-UA" w:eastAsia="zh-CN" w:bidi="ar-SA"/>
              </w:rPr>
              <w:t>合  计</w:t>
            </w:r>
          </w:p>
        </w:tc>
        <w:tc>
          <w:tcPr>
            <w:tcW w:w="1937"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outlineLvl w:val="9"/>
              <w:rPr>
                <w:rFonts w:hint="eastAsia" w:ascii="仿宋_GB2312" w:hAnsi="仿宋_GB2312" w:cs="仿宋_GB2312" w:eastAsiaTheme="minorEastAsia"/>
              </w:rPr>
            </w:pPr>
            <w:r>
              <w:rPr>
                <w:rFonts w:hint="eastAsia" w:ascii="仿宋_GB2312" w:hAnsi="仿宋_GB2312" w:cs="仿宋_GB2312" w:eastAsiaTheme="minorEastAsia"/>
              </w:rPr>
              <w:t>1382</w:t>
            </w:r>
          </w:p>
        </w:tc>
        <w:tc>
          <w:tcPr>
            <w:tcW w:w="2446" w:type="dxa"/>
            <w:tcBorders>
              <w:top w:val="single" w:color="auto" w:sz="4" w:space="0"/>
              <w:left w:val="single" w:color="8064A2" w:sz="8" w:space="0"/>
              <w:bottom w:val="single" w:color="8064A2" w:sz="8" w:space="0"/>
              <w:right w:val="single" w:color="8064A2" w:sz="8" w:space="0"/>
            </w:tcBorders>
            <w:shd w:val="clear" w:color="auto" w:fill="FFFFFF"/>
            <w:vAlign w:val="center"/>
          </w:tcPr>
          <w:p>
            <w:pPr>
              <w:jc w:val="center"/>
              <w:outlineLvl w:val="9"/>
              <w:rPr>
                <w:rFonts w:ascii="仿宋_GB2312" w:hAnsi="仿宋_GB2312" w:eastAsia="仿宋_GB2312" w:cs="仿宋_GB2312"/>
              </w:rPr>
            </w:pPr>
          </w:p>
        </w:tc>
        <w:tc>
          <w:tcPr>
            <w:tcW w:w="1535" w:type="dxa"/>
            <w:tcBorders>
              <w:top w:val="single" w:color="8064A2" w:sz="8" w:space="0"/>
              <w:left w:val="single" w:color="8064A2" w:sz="8" w:space="0"/>
              <w:bottom w:val="single" w:color="8064A2" w:sz="8" w:space="0"/>
              <w:right w:val="single" w:color="8064A2" w:sz="8" w:space="0"/>
            </w:tcBorders>
            <w:shd w:val="clear" w:color="auto" w:fill="FFFFFF"/>
            <w:vAlign w:val="center"/>
          </w:tcPr>
          <w:p>
            <w:pPr>
              <w:jc w:val="center"/>
              <w:outlineLvl w:val="9"/>
              <w:rPr>
                <w:rFonts w:ascii="仿宋_GB2312" w:hAnsi="仿宋_GB2312" w:eastAsia="仿宋_GB2312" w:cs="仿宋_GB2312"/>
              </w:rPr>
            </w:pPr>
            <w:r>
              <w:rPr>
                <w:rFonts w:hint="eastAsia" w:ascii="仿宋_GB2312" w:hAnsi="仿宋_GB2312" w:cs="仿宋_GB2312" w:eastAsiaTheme="minorEastAsia"/>
              </w:rPr>
              <w:t>2764</w:t>
            </w:r>
            <w:r>
              <w:rPr>
                <w:rFonts w:hint="eastAsia" w:ascii="仿宋_GB2312" w:hAnsi="仿宋_GB2312" w:eastAsia="仿宋_GB2312" w:cs="仿宋_GB2312"/>
              </w:rPr>
              <w:t>000</w:t>
            </w:r>
          </w:p>
        </w:tc>
      </w:tr>
    </w:tbl>
    <w:p>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仿宋_GB2312" w:hAnsi="Times New Roman" w:eastAsia="仿宋_GB2312" w:cs="Times New Roman"/>
          <w:b/>
          <w:bCs/>
          <w:kern w:val="2"/>
          <w:sz w:val="28"/>
          <w:szCs w:val="28"/>
          <w:lang w:val="en-US" w:eastAsia="zh-CN" w:bidi="ar-SA"/>
        </w:rPr>
      </w:pPr>
      <w:bookmarkStart w:id="132" w:name="_Toc30601"/>
      <w:r>
        <w:rPr>
          <w:rFonts w:hint="eastAsia" w:ascii="仿宋_GB2312" w:hAnsi="Times New Roman" w:eastAsia="仿宋_GB2312" w:cs="Times New Roman"/>
          <w:b/>
          <w:bCs/>
          <w:kern w:val="2"/>
          <w:sz w:val="28"/>
          <w:szCs w:val="28"/>
          <w:lang w:val="en-US" w:eastAsia="zh-CN" w:bidi="ar-SA"/>
        </w:rPr>
        <w:t>2020年与2021年校内奖学金发放情况统计表</w:t>
      </w:r>
      <w:bookmarkEnd w:id="132"/>
    </w:p>
    <w:p>
      <w:pPr>
        <w:spacing w:line="300" w:lineRule="exact"/>
        <w:jc w:val="center"/>
        <w:outlineLvl w:val="9"/>
        <w:rPr>
          <w:rFonts w:hint="eastAsia" w:ascii="仿宋_GB2312" w:hAnsi="仿宋_GB2312"/>
          <w:b/>
          <w:bCs/>
          <w:sz w:val="28"/>
          <w:szCs w:val="28"/>
        </w:rPr>
      </w:pPr>
    </w:p>
    <w:tbl>
      <w:tblPr>
        <w:tblStyle w:val="14"/>
        <w:tblW w:w="8218" w:type="dxa"/>
        <w:tblInd w:w="135" w:type="dxa"/>
        <w:tblLayout w:type="fixed"/>
        <w:tblCellMar>
          <w:top w:w="0" w:type="dxa"/>
          <w:left w:w="108" w:type="dxa"/>
          <w:bottom w:w="0" w:type="dxa"/>
          <w:right w:w="108" w:type="dxa"/>
        </w:tblCellMar>
      </w:tblPr>
      <w:tblGrid>
        <w:gridCol w:w="1079"/>
        <w:gridCol w:w="1008"/>
        <w:gridCol w:w="1676"/>
        <w:gridCol w:w="3375"/>
        <w:gridCol w:w="1080"/>
      </w:tblGrid>
      <w:tr>
        <w:tblPrEx>
          <w:tblCellMar>
            <w:top w:w="0" w:type="dxa"/>
            <w:left w:w="108" w:type="dxa"/>
            <w:bottom w:w="0" w:type="dxa"/>
            <w:right w:w="108" w:type="dxa"/>
          </w:tblCellMar>
        </w:tblPrEx>
        <w:trPr>
          <w:trHeight w:val="498" w:hRule="atLeast"/>
        </w:trPr>
        <w:tc>
          <w:tcPr>
            <w:tcW w:w="1079" w:type="dxa"/>
            <w:tcBorders>
              <w:top w:val="single" w:color="auto" w:sz="4" w:space="0"/>
              <w:left w:val="single" w:color="auto" w:sz="4" w:space="0"/>
              <w:bottom w:val="single" w:color="auto" w:sz="4" w:space="0"/>
              <w:right w:val="single" w:color="auto" w:sz="4" w:space="0"/>
            </w:tcBorders>
            <w:shd w:val="clear" w:color="auto" w:fill="F79646"/>
            <w:vAlign w:val="center"/>
          </w:tcPr>
          <w:p>
            <w:pPr>
              <w:overflowPunct w:val="0"/>
              <w:autoSpaceDE w:val="0"/>
              <w:autoSpaceDN w:val="0"/>
              <w:adjustRightInd w:val="0"/>
              <w:snapToGrid w:val="0"/>
              <w:spacing w:line="300" w:lineRule="exact"/>
              <w:jc w:val="center"/>
              <w:textAlignment w:val="baseline"/>
              <w:outlineLvl w:val="9"/>
              <w:rPr>
                <w:rFonts w:hint="eastAsia" w:ascii="仿宋_GB2312" w:hAnsi="仿宋_GB2312" w:cs="宋体"/>
                <w:b/>
                <w:bCs/>
              </w:rPr>
            </w:pPr>
            <w:r>
              <w:rPr>
                <w:rFonts w:hint="eastAsia" w:ascii="仿宋_GB2312" w:hAnsi="仿宋_GB2312"/>
                <w:b/>
                <w:bCs/>
              </w:rPr>
              <w:t>获奖类型</w:t>
            </w:r>
          </w:p>
        </w:tc>
        <w:tc>
          <w:tcPr>
            <w:tcW w:w="1008" w:type="dxa"/>
            <w:tcBorders>
              <w:top w:val="single" w:color="auto" w:sz="4" w:space="0"/>
              <w:left w:val="single" w:color="auto" w:sz="4" w:space="0"/>
              <w:bottom w:val="single" w:color="auto" w:sz="4" w:space="0"/>
              <w:right w:val="single" w:color="auto" w:sz="4" w:space="0"/>
            </w:tcBorders>
            <w:shd w:val="clear" w:color="auto" w:fill="F79646"/>
            <w:vAlign w:val="center"/>
          </w:tcPr>
          <w:p>
            <w:pPr>
              <w:overflowPunct w:val="0"/>
              <w:autoSpaceDE w:val="0"/>
              <w:autoSpaceDN w:val="0"/>
              <w:adjustRightInd w:val="0"/>
              <w:snapToGrid w:val="0"/>
              <w:spacing w:line="300" w:lineRule="exact"/>
              <w:jc w:val="center"/>
              <w:textAlignment w:val="baseline"/>
              <w:outlineLvl w:val="9"/>
              <w:rPr>
                <w:rFonts w:hint="eastAsia" w:ascii="仿宋_GB2312" w:hAnsi="仿宋_GB2312" w:cs="宋体"/>
                <w:b/>
                <w:bCs/>
              </w:rPr>
            </w:pPr>
            <w:r>
              <w:rPr>
                <w:rFonts w:ascii="仿宋_GB2312" w:hAnsi="仿宋_GB2312"/>
                <w:b/>
                <w:bCs/>
              </w:rPr>
              <w:t>年</w:t>
            </w:r>
            <w:r>
              <w:rPr>
                <w:rFonts w:hint="eastAsia" w:ascii="仿宋_GB2312" w:hAnsi="仿宋_GB2312"/>
                <w:b/>
                <w:bCs/>
              </w:rPr>
              <w:t>度</w:t>
            </w:r>
          </w:p>
        </w:tc>
        <w:tc>
          <w:tcPr>
            <w:tcW w:w="1676" w:type="dxa"/>
            <w:tcBorders>
              <w:top w:val="single" w:color="auto" w:sz="4" w:space="0"/>
              <w:left w:val="single" w:color="auto" w:sz="4" w:space="0"/>
              <w:bottom w:val="single" w:color="auto" w:sz="4" w:space="0"/>
              <w:right w:val="single" w:color="auto" w:sz="4" w:space="0"/>
            </w:tcBorders>
            <w:shd w:val="clear" w:color="auto" w:fill="F79646"/>
            <w:vAlign w:val="center"/>
          </w:tcPr>
          <w:p>
            <w:pPr>
              <w:overflowPunct w:val="0"/>
              <w:autoSpaceDE w:val="0"/>
              <w:autoSpaceDN w:val="0"/>
              <w:adjustRightInd w:val="0"/>
              <w:snapToGrid w:val="0"/>
              <w:spacing w:line="300" w:lineRule="exact"/>
              <w:jc w:val="center"/>
              <w:textAlignment w:val="baseline"/>
              <w:outlineLvl w:val="9"/>
              <w:rPr>
                <w:rFonts w:hint="eastAsia" w:ascii="仿宋_GB2312" w:hAnsi="仿宋_GB2312" w:cs="宋体"/>
                <w:b/>
                <w:bCs/>
              </w:rPr>
            </w:pPr>
            <w:r>
              <w:rPr>
                <w:rFonts w:hint="eastAsia" w:ascii="仿宋_GB2312" w:hAnsi="仿宋_GB2312" w:cs="宋体"/>
                <w:b/>
                <w:bCs/>
              </w:rPr>
              <w:t>人数</w:t>
            </w:r>
          </w:p>
        </w:tc>
        <w:tc>
          <w:tcPr>
            <w:tcW w:w="3375" w:type="dxa"/>
            <w:tcBorders>
              <w:top w:val="single" w:color="auto" w:sz="4" w:space="0"/>
              <w:left w:val="single" w:color="auto" w:sz="4" w:space="0"/>
              <w:bottom w:val="single" w:color="auto" w:sz="4" w:space="0"/>
              <w:right w:val="single" w:color="auto" w:sz="4" w:space="0"/>
            </w:tcBorders>
            <w:shd w:val="clear" w:color="auto" w:fill="F79646"/>
            <w:vAlign w:val="center"/>
          </w:tcPr>
          <w:p>
            <w:pPr>
              <w:overflowPunct w:val="0"/>
              <w:autoSpaceDE w:val="0"/>
              <w:autoSpaceDN w:val="0"/>
              <w:adjustRightInd w:val="0"/>
              <w:snapToGrid w:val="0"/>
              <w:spacing w:line="300" w:lineRule="exact"/>
              <w:jc w:val="center"/>
              <w:textAlignment w:val="baseline"/>
              <w:outlineLvl w:val="9"/>
              <w:rPr>
                <w:rFonts w:hint="eastAsia" w:ascii="仿宋_GB2312" w:hAnsi="仿宋_GB2312" w:cs="宋体"/>
                <w:b/>
                <w:bCs/>
              </w:rPr>
            </w:pPr>
            <w:r>
              <w:rPr>
                <w:rFonts w:hint="eastAsia" w:ascii="仿宋_GB2312" w:hAnsi="仿宋_GB2312"/>
                <w:b/>
                <w:bCs/>
              </w:rPr>
              <w:t>发放</w:t>
            </w:r>
            <w:r>
              <w:rPr>
                <w:rFonts w:ascii="仿宋_GB2312" w:hAnsi="仿宋_GB2312"/>
                <w:b/>
                <w:bCs/>
              </w:rPr>
              <w:t>标准</w:t>
            </w:r>
          </w:p>
        </w:tc>
        <w:tc>
          <w:tcPr>
            <w:tcW w:w="1080" w:type="dxa"/>
            <w:tcBorders>
              <w:top w:val="single" w:color="auto" w:sz="4" w:space="0"/>
              <w:left w:val="single" w:color="auto" w:sz="4" w:space="0"/>
              <w:bottom w:val="single" w:color="auto" w:sz="4" w:space="0"/>
              <w:right w:val="single" w:color="auto" w:sz="4" w:space="0"/>
            </w:tcBorders>
            <w:shd w:val="clear" w:color="auto" w:fill="F79646"/>
            <w:vAlign w:val="center"/>
          </w:tcPr>
          <w:p>
            <w:pPr>
              <w:overflowPunct w:val="0"/>
              <w:autoSpaceDE w:val="0"/>
              <w:autoSpaceDN w:val="0"/>
              <w:adjustRightInd w:val="0"/>
              <w:snapToGrid w:val="0"/>
              <w:spacing w:line="300" w:lineRule="exact"/>
              <w:jc w:val="center"/>
              <w:textAlignment w:val="baseline"/>
              <w:outlineLvl w:val="9"/>
              <w:rPr>
                <w:rFonts w:hint="eastAsia" w:ascii="仿宋_GB2312" w:hAnsi="仿宋_GB2312" w:cs="宋体"/>
                <w:b/>
                <w:bCs/>
              </w:rPr>
            </w:pPr>
            <w:r>
              <w:rPr>
                <w:rFonts w:ascii="仿宋_GB2312" w:hAnsi="仿宋_GB2312"/>
                <w:b/>
                <w:bCs/>
              </w:rPr>
              <w:t>小计（元）</w:t>
            </w:r>
          </w:p>
        </w:tc>
      </w:tr>
      <w:tr>
        <w:tblPrEx>
          <w:tblCellMar>
            <w:top w:w="0" w:type="dxa"/>
            <w:left w:w="108" w:type="dxa"/>
            <w:bottom w:w="0" w:type="dxa"/>
            <w:right w:w="108" w:type="dxa"/>
          </w:tblCellMar>
        </w:tblPrEx>
        <w:trPr>
          <w:trHeight w:val="896" w:hRule="atLeast"/>
        </w:trPr>
        <w:tc>
          <w:tcPr>
            <w:tcW w:w="1079" w:type="dxa"/>
            <w:vMerge w:val="restart"/>
            <w:tcBorders>
              <w:top w:val="single" w:color="auto" w:sz="4" w:space="0"/>
              <w:left w:val="single" w:color="auto" w:sz="4" w:space="0"/>
              <w:bottom w:val="single" w:color="auto" w:sz="4" w:space="0"/>
              <w:right w:val="single" w:color="auto" w:sz="4" w:space="0"/>
            </w:tcBorders>
            <w:shd w:val="clear" w:color="auto" w:fill="FFCC99"/>
            <w:vAlign w:val="center"/>
          </w:tcPr>
          <w:p>
            <w:pPr>
              <w:jc w:val="center"/>
              <w:outlineLvl w:val="9"/>
              <w:rPr>
                <w:rFonts w:hint="eastAsia" w:ascii="仿宋_GB2312" w:hAnsi="Times New Roman" w:eastAsia="仿宋_GB2312" w:cs="Times New Roman"/>
                <w:b/>
                <w:bCs/>
                <w:kern w:val="2"/>
                <w:sz w:val="21"/>
                <w:szCs w:val="21"/>
                <w:lang w:val="uk-UA" w:eastAsia="zh-CN" w:bidi="ar-SA"/>
              </w:rPr>
            </w:pPr>
            <w:r>
              <w:rPr>
                <w:rFonts w:hint="eastAsia" w:ascii="仿宋_GB2312" w:hAnsi="Times New Roman" w:eastAsia="仿宋_GB2312" w:cs="Times New Roman"/>
                <w:b/>
                <w:bCs/>
                <w:kern w:val="2"/>
                <w:sz w:val="21"/>
                <w:szCs w:val="21"/>
                <w:lang w:val="uk-UA" w:eastAsia="zh-CN" w:bidi="ar-SA"/>
              </w:rPr>
              <w:t>优秀</w:t>
            </w:r>
          </w:p>
          <w:p>
            <w:pPr>
              <w:jc w:val="center"/>
              <w:outlineLvl w:val="9"/>
              <w:rPr>
                <w:rFonts w:hint="eastAsia" w:ascii="仿宋_GB2312" w:hAnsi="Times New Roman" w:eastAsia="仿宋_GB2312" w:cs="Times New Roman"/>
                <w:b/>
                <w:bCs/>
                <w:kern w:val="2"/>
                <w:sz w:val="21"/>
                <w:szCs w:val="21"/>
                <w:lang w:val="uk-UA" w:eastAsia="zh-CN" w:bidi="ar-SA"/>
              </w:rPr>
            </w:pPr>
            <w:r>
              <w:rPr>
                <w:rFonts w:hint="eastAsia" w:ascii="仿宋_GB2312" w:hAnsi="Times New Roman" w:eastAsia="仿宋_GB2312" w:cs="Times New Roman"/>
                <w:b/>
                <w:bCs/>
                <w:kern w:val="2"/>
                <w:sz w:val="21"/>
                <w:szCs w:val="21"/>
                <w:lang w:val="uk-UA" w:eastAsia="zh-CN" w:bidi="ar-SA"/>
              </w:rPr>
              <w:t>学生</w:t>
            </w:r>
          </w:p>
        </w:tc>
        <w:tc>
          <w:tcPr>
            <w:tcW w:w="1008" w:type="dxa"/>
            <w:tcBorders>
              <w:top w:val="single" w:color="auto" w:sz="4" w:space="0"/>
              <w:left w:val="single" w:color="auto" w:sz="4" w:space="0"/>
              <w:bottom w:val="single" w:color="auto" w:sz="4" w:space="0"/>
              <w:right w:val="single" w:color="auto" w:sz="4" w:space="0"/>
            </w:tcBorders>
            <w:shd w:val="clear" w:color="auto" w:fill="FFCC99"/>
            <w:vAlign w:val="center"/>
          </w:tcPr>
          <w:p>
            <w:pPr>
              <w:overflowPunct w:val="0"/>
              <w:autoSpaceDE w:val="0"/>
              <w:autoSpaceDN w:val="0"/>
              <w:adjustRightInd w:val="0"/>
              <w:snapToGrid w:val="0"/>
              <w:jc w:val="center"/>
              <w:textAlignment w:val="baseline"/>
              <w:outlineLvl w:val="9"/>
              <w:rPr>
                <w:rFonts w:hint="eastAsia" w:ascii="仿宋_GB2312" w:hAnsi="仿宋_GB2312" w:cs="宋体"/>
              </w:rPr>
            </w:pPr>
            <w:r>
              <w:rPr>
                <w:rFonts w:ascii="仿宋_GB2312" w:hAnsi="仿宋_GB2312"/>
              </w:rPr>
              <w:t>20</w:t>
            </w:r>
            <w:r>
              <w:rPr>
                <w:rFonts w:hint="eastAsia" w:ascii="仿宋_GB2312" w:hAnsi="仿宋_GB2312"/>
              </w:rPr>
              <w:t>21</w:t>
            </w:r>
          </w:p>
        </w:tc>
        <w:tc>
          <w:tcPr>
            <w:tcW w:w="1676" w:type="dxa"/>
            <w:tcBorders>
              <w:top w:val="single" w:color="auto" w:sz="4" w:space="0"/>
              <w:left w:val="single" w:color="auto" w:sz="4" w:space="0"/>
              <w:bottom w:val="single" w:color="auto" w:sz="4" w:space="0"/>
              <w:right w:val="single" w:color="auto" w:sz="4" w:space="0"/>
            </w:tcBorders>
            <w:shd w:val="clear" w:color="auto" w:fill="FFCC99"/>
            <w:vAlign w:val="center"/>
          </w:tcPr>
          <w:p>
            <w:pPr>
              <w:overflowPunct w:val="0"/>
              <w:autoSpaceDE w:val="0"/>
              <w:autoSpaceDN w:val="0"/>
              <w:adjustRightInd w:val="0"/>
              <w:snapToGrid w:val="0"/>
              <w:jc w:val="center"/>
              <w:textAlignment w:val="baseline"/>
              <w:outlineLvl w:val="9"/>
              <w:rPr>
                <w:rFonts w:hint="eastAsia" w:ascii="仿宋_GB2312" w:hAnsi="仿宋_GB2312" w:cs="宋体"/>
              </w:rPr>
            </w:pPr>
            <w:r>
              <w:rPr>
                <w:rFonts w:hint="eastAsia" w:ascii="仿宋_GB2312" w:hAnsi="仿宋_GB2312"/>
              </w:rPr>
              <w:t>67</w:t>
            </w:r>
          </w:p>
        </w:tc>
        <w:tc>
          <w:tcPr>
            <w:tcW w:w="3375" w:type="dxa"/>
            <w:vMerge w:val="restart"/>
            <w:tcBorders>
              <w:top w:val="single" w:color="auto" w:sz="4" w:space="0"/>
              <w:left w:val="single" w:color="auto" w:sz="4" w:space="0"/>
              <w:bottom w:val="single" w:color="auto" w:sz="4" w:space="0"/>
              <w:right w:val="single" w:color="auto" w:sz="4" w:space="0"/>
            </w:tcBorders>
            <w:shd w:val="clear" w:color="auto" w:fill="FFCC99"/>
            <w:vAlign w:val="center"/>
          </w:tcPr>
          <w:p>
            <w:pPr>
              <w:jc w:val="center"/>
              <w:outlineLvl w:val="9"/>
              <w:rPr>
                <w:rFonts w:hint="eastAsia" w:ascii="仿宋_GB2312" w:hAnsi="Times New Roman" w:eastAsia="仿宋_GB2312" w:cs="Times New Roman"/>
                <w:b w:val="0"/>
                <w:bCs w:val="0"/>
                <w:kern w:val="2"/>
                <w:sz w:val="21"/>
                <w:szCs w:val="21"/>
                <w:lang w:val="uk-UA" w:eastAsia="zh-CN" w:bidi="ar-SA"/>
              </w:rPr>
            </w:pPr>
            <w:r>
              <w:rPr>
                <w:rFonts w:hint="eastAsia" w:ascii="仿宋_GB2312" w:hAnsi="Times New Roman" w:eastAsia="仿宋_GB2312" w:cs="Times New Roman"/>
                <w:b w:val="0"/>
                <w:bCs w:val="0"/>
                <w:kern w:val="2"/>
                <w:sz w:val="21"/>
                <w:szCs w:val="21"/>
                <w:lang w:val="uk-UA" w:eastAsia="zh-CN" w:bidi="ar-SA"/>
              </w:rPr>
              <w:t xml:space="preserve">  小学100元/人、初中200元/人</w:t>
            </w:r>
          </w:p>
          <w:p>
            <w:pPr>
              <w:jc w:val="center"/>
              <w:outlineLvl w:val="9"/>
              <w:rPr>
                <w:rFonts w:hint="eastAsia" w:ascii="仿宋_GB2312" w:hAnsi="Times New Roman" w:eastAsia="仿宋_GB2312" w:cs="Times New Roman"/>
                <w:b w:val="0"/>
                <w:bCs w:val="0"/>
                <w:kern w:val="2"/>
                <w:sz w:val="21"/>
                <w:szCs w:val="21"/>
                <w:lang w:val="uk-UA" w:eastAsia="zh-CN" w:bidi="ar-SA"/>
              </w:rPr>
            </w:pPr>
            <w:r>
              <w:rPr>
                <w:rFonts w:hint="eastAsia" w:ascii="仿宋_GB2312" w:hAnsi="Times New Roman" w:eastAsia="仿宋_GB2312" w:cs="Times New Roman"/>
                <w:b w:val="0"/>
                <w:bCs w:val="0"/>
                <w:kern w:val="2"/>
                <w:sz w:val="21"/>
                <w:szCs w:val="21"/>
                <w:lang w:val="uk-UA" w:eastAsia="zh-CN" w:bidi="ar-SA"/>
              </w:rPr>
              <w:t>大中专300/人</w:t>
            </w:r>
          </w:p>
        </w:tc>
        <w:tc>
          <w:tcPr>
            <w:tcW w:w="1080" w:type="dxa"/>
            <w:tcBorders>
              <w:top w:val="single" w:color="auto" w:sz="4" w:space="0"/>
              <w:left w:val="single" w:color="auto" w:sz="4" w:space="0"/>
              <w:bottom w:val="single" w:color="auto" w:sz="4" w:space="0"/>
              <w:right w:val="single" w:color="auto" w:sz="4" w:space="0"/>
            </w:tcBorders>
            <w:shd w:val="clear" w:color="auto" w:fill="FFCC99"/>
            <w:vAlign w:val="center"/>
          </w:tcPr>
          <w:p>
            <w:pPr>
              <w:overflowPunct w:val="0"/>
              <w:autoSpaceDE w:val="0"/>
              <w:autoSpaceDN w:val="0"/>
              <w:adjustRightInd w:val="0"/>
              <w:snapToGrid w:val="0"/>
              <w:jc w:val="center"/>
              <w:textAlignment w:val="baseline"/>
              <w:outlineLvl w:val="9"/>
              <w:rPr>
                <w:rFonts w:hint="eastAsia" w:ascii="仿宋_GB2312" w:hAnsi="仿宋_GB2312" w:cs="宋体"/>
              </w:rPr>
            </w:pPr>
            <w:r>
              <w:rPr>
                <w:rFonts w:hint="eastAsia" w:ascii="仿宋_GB2312" w:hAnsi="仿宋_GB2312" w:cs="宋体"/>
              </w:rPr>
              <w:t>13400</w:t>
            </w:r>
          </w:p>
        </w:tc>
      </w:tr>
      <w:tr>
        <w:tblPrEx>
          <w:tblCellMar>
            <w:top w:w="0" w:type="dxa"/>
            <w:left w:w="108" w:type="dxa"/>
            <w:bottom w:w="0" w:type="dxa"/>
            <w:right w:w="108" w:type="dxa"/>
          </w:tblCellMar>
        </w:tblPrEx>
        <w:trPr>
          <w:trHeight w:val="751" w:hRule="atLeast"/>
        </w:trPr>
        <w:tc>
          <w:tcPr>
            <w:tcW w:w="107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9"/>
              <w:rPr>
                <w:rFonts w:hint="eastAsia" w:ascii="仿宋_GB2312" w:hAnsi="Times New Roman" w:eastAsia="仿宋_GB2312" w:cs="Times New Roman"/>
                <w:b/>
                <w:bCs/>
                <w:kern w:val="2"/>
                <w:sz w:val="21"/>
                <w:szCs w:val="21"/>
                <w:lang w:val="uk-UA" w:eastAsia="zh-CN" w:bidi="ar-SA"/>
              </w:rPr>
            </w:pPr>
          </w:p>
        </w:tc>
        <w:tc>
          <w:tcPr>
            <w:tcW w:w="1008" w:type="dxa"/>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autoSpaceDE w:val="0"/>
              <w:autoSpaceDN w:val="0"/>
              <w:adjustRightInd w:val="0"/>
              <w:snapToGrid w:val="0"/>
              <w:jc w:val="center"/>
              <w:textAlignment w:val="baseline"/>
              <w:outlineLvl w:val="9"/>
              <w:rPr>
                <w:rFonts w:hint="eastAsia" w:ascii="仿宋_GB2312" w:hAnsi="仿宋_GB2312" w:cs="宋体"/>
              </w:rPr>
            </w:pPr>
            <w:r>
              <w:rPr>
                <w:rFonts w:hint="eastAsia" w:ascii="仿宋_GB2312" w:hAnsi="仿宋_GB2312"/>
              </w:rPr>
              <w:t>2020</w:t>
            </w:r>
          </w:p>
        </w:tc>
        <w:tc>
          <w:tcPr>
            <w:tcW w:w="1676" w:type="dxa"/>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autoSpaceDE w:val="0"/>
              <w:autoSpaceDN w:val="0"/>
              <w:adjustRightInd w:val="0"/>
              <w:snapToGrid w:val="0"/>
              <w:jc w:val="center"/>
              <w:textAlignment w:val="baseline"/>
              <w:outlineLvl w:val="9"/>
              <w:rPr>
                <w:rFonts w:hint="eastAsia" w:ascii="仿宋_GB2312" w:hAnsi="仿宋_GB2312" w:cs="宋体"/>
              </w:rPr>
            </w:pPr>
            <w:r>
              <w:rPr>
                <w:rFonts w:hint="eastAsia" w:ascii="仿宋_GB2312" w:hAnsi="仿宋_GB2312"/>
              </w:rPr>
              <w:t>90</w:t>
            </w:r>
          </w:p>
        </w:tc>
        <w:tc>
          <w:tcPr>
            <w:tcW w:w="33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9"/>
              <w:rPr>
                <w:rFonts w:hint="eastAsia" w:ascii="仿宋_GB2312" w:hAnsi="Times New Roman" w:eastAsia="仿宋_GB2312" w:cs="Times New Roman"/>
                <w:b w:val="0"/>
                <w:bCs w:val="0"/>
                <w:kern w:val="2"/>
                <w:sz w:val="21"/>
                <w:szCs w:val="21"/>
                <w:lang w:val="uk-UA" w:eastAsia="zh-CN" w:bidi="ar-SA"/>
              </w:rPr>
            </w:pPr>
          </w:p>
        </w:tc>
        <w:tc>
          <w:tcPr>
            <w:tcW w:w="1080" w:type="dxa"/>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autoSpaceDE w:val="0"/>
              <w:autoSpaceDN w:val="0"/>
              <w:adjustRightInd w:val="0"/>
              <w:snapToGrid w:val="0"/>
              <w:jc w:val="center"/>
              <w:textAlignment w:val="baseline"/>
              <w:outlineLvl w:val="9"/>
              <w:rPr>
                <w:rFonts w:hint="eastAsia" w:ascii="仿宋_GB2312" w:hAnsi="仿宋_GB2312" w:cs="宋体"/>
              </w:rPr>
            </w:pPr>
            <w:r>
              <w:rPr>
                <w:rFonts w:hint="eastAsia" w:ascii="仿宋_GB2312" w:hAnsi="仿宋_GB2312"/>
              </w:rPr>
              <w:t>18000</w:t>
            </w:r>
          </w:p>
        </w:tc>
      </w:tr>
      <w:tr>
        <w:tblPrEx>
          <w:tblCellMar>
            <w:top w:w="0" w:type="dxa"/>
            <w:left w:w="108" w:type="dxa"/>
            <w:bottom w:w="0" w:type="dxa"/>
            <w:right w:w="108" w:type="dxa"/>
          </w:tblCellMar>
        </w:tblPrEx>
        <w:trPr>
          <w:trHeight w:val="1398" w:hRule="atLeast"/>
        </w:trPr>
        <w:tc>
          <w:tcPr>
            <w:tcW w:w="1079"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jc w:val="center"/>
              <w:outlineLvl w:val="9"/>
              <w:rPr>
                <w:rFonts w:hint="eastAsia" w:ascii="仿宋_GB2312" w:hAnsi="Times New Roman" w:eastAsia="仿宋_GB2312" w:cs="Times New Roman"/>
                <w:b/>
                <w:bCs/>
                <w:kern w:val="2"/>
                <w:sz w:val="21"/>
                <w:szCs w:val="21"/>
                <w:lang w:val="uk-UA" w:eastAsia="zh-CN" w:bidi="ar-SA"/>
              </w:rPr>
            </w:pPr>
            <w:r>
              <w:rPr>
                <w:rFonts w:hint="eastAsia" w:ascii="仿宋_GB2312" w:hAnsi="Times New Roman" w:eastAsia="仿宋_GB2312" w:cs="Times New Roman"/>
                <w:b/>
                <w:bCs/>
                <w:kern w:val="2"/>
                <w:sz w:val="21"/>
                <w:szCs w:val="21"/>
                <w:lang w:val="uk-UA" w:eastAsia="zh-CN" w:bidi="ar-SA"/>
              </w:rPr>
              <w:t>省运会</w:t>
            </w:r>
          </w:p>
          <w:p>
            <w:pPr>
              <w:jc w:val="center"/>
              <w:outlineLvl w:val="9"/>
              <w:rPr>
                <w:rFonts w:hint="eastAsia" w:ascii="仿宋_GB2312" w:hAnsi="Times New Roman" w:eastAsia="仿宋_GB2312" w:cs="Times New Roman"/>
                <w:b/>
                <w:bCs/>
                <w:kern w:val="2"/>
                <w:sz w:val="21"/>
                <w:szCs w:val="21"/>
                <w:lang w:val="uk-UA" w:eastAsia="zh-CN" w:bidi="ar-SA"/>
              </w:rPr>
            </w:pPr>
            <w:r>
              <w:rPr>
                <w:rFonts w:hint="eastAsia" w:ascii="仿宋_GB2312" w:hAnsi="Times New Roman" w:eastAsia="仿宋_GB2312" w:cs="Times New Roman"/>
                <w:b/>
                <w:bCs/>
                <w:kern w:val="2"/>
                <w:sz w:val="21"/>
                <w:szCs w:val="21"/>
                <w:lang w:val="uk-UA" w:eastAsia="zh-CN" w:bidi="ar-SA"/>
              </w:rPr>
              <w:t>兑现奖</w:t>
            </w:r>
          </w:p>
        </w:tc>
        <w:tc>
          <w:tcPr>
            <w:tcW w:w="1008" w:type="dxa"/>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autoSpaceDE w:val="0"/>
              <w:autoSpaceDN w:val="0"/>
              <w:adjustRightInd w:val="0"/>
              <w:snapToGrid w:val="0"/>
              <w:jc w:val="center"/>
              <w:textAlignment w:val="baseline"/>
              <w:outlineLvl w:val="9"/>
              <w:rPr>
                <w:rFonts w:hint="eastAsia" w:ascii="仿宋_GB2312" w:hAnsi="仿宋_GB2312" w:cs="宋体"/>
              </w:rPr>
            </w:pPr>
            <w:r>
              <w:rPr>
                <w:rFonts w:hint="eastAsia" w:ascii="仿宋_GB2312" w:hAnsi="仿宋_GB2312"/>
              </w:rPr>
              <w:t>2021</w:t>
            </w:r>
          </w:p>
        </w:tc>
        <w:tc>
          <w:tcPr>
            <w:tcW w:w="1676" w:type="dxa"/>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autoSpaceDE w:val="0"/>
              <w:autoSpaceDN w:val="0"/>
              <w:adjustRightInd w:val="0"/>
              <w:snapToGrid w:val="0"/>
              <w:jc w:val="center"/>
              <w:textAlignment w:val="baseline"/>
              <w:outlineLvl w:val="9"/>
              <w:rPr>
                <w:rFonts w:hint="eastAsia" w:ascii="仿宋_GB2312" w:hAnsi="仿宋_GB2312" w:cs="宋体"/>
              </w:rPr>
            </w:pPr>
            <w:r>
              <w:rPr>
                <w:rFonts w:hint="eastAsia" w:ascii="仿宋_GB2312" w:hAnsi="仿宋_GB2312"/>
              </w:rPr>
              <w:t>128</w:t>
            </w:r>
          </w:p>
        </w:tc>
        <w:tc>
          <w:tcPr>
            <w:tcW w:w="3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9"/>
              <w:rPr>
                <w:rFonts w:hint="eastAsia" w:ascii="仿宋_GB2312" w:hAnsi="Times New Roman" w:eastAsia="仿宋_GB2312" w:cs="Times New Roman"/>
                <w:b w:val="0"/>
                <w:bCs w:val="0"/>
                <w:kern w:val="2"/>
                <w:sz w:val="21"/>
                <w:szCs w:val="21"/>
                <w:lang w:val="uk-UA" w:eastAsia="zh-CN" w:bidi="ar-SA"/>
              </w:rPr>
            </w:pPr>
            <w:r>
              <w:rPr>
                <w:rFonts w:hint="eastAsia" w:ascii="仿宋_GB2312" w:hAnsi="Times New Roman" w:eastAsia="仿宋_GB2312" w:cs="Times New Roman"/>
                <w:b w:val="0"/>
                <w:bCs w:val="0"/>
                <w:kern w:val="2"/>
                <w:sz w:val="21"/>
                <w:szCs w:val="21"/>
                <w:lang w:val="uk-UA" w:eastAsia="zh-CN" w:bidi="ar-SA"/>
              </w:rPr>
              <w:t xml:space="preserve"> </w:t>
            </w:r>
          </w:p>
          <w:p>
            <w:pPr>
              <w:jc w:val="center"/>
              <w:outlineLvl w:val="9"/>
              <w:rPr>
                <w:rFonts w:hint="eastAsia" w:ascii="仿宋_GB2312" w:hAnsi="Times New Roman" w:eastAsia="仿宋_GB2312" w:cs="Times New Roman"/>
                <w:b w:val="0"/>
                <w:bCs w:val="0"/>
                <w:kern w:val="2"/>
                <w:sz w:val="21"/>
                <w:szCs w:val="21"/>
                <w:lang w:val="uk-UA" w:eastAsia="zh-CN" w:bidi="ar-SA"/>
              </w:rPr>
            </w:pPr>
            <w:r>
              <w:rPr>
                <w:rFonts w:hint="eastAsia" w:ascii="仿宋_GB2312" w:hAnsi="Times New Roman" w:eastAsia="仿宋_GB2312" w:cs="Times New Roman"/>
                <w:b w:val="0"/>
                <w:bCs w:val="0"/>
                <w:kern w:val="2"/>
                <w:sz w:val="21"/>
                <w:szCs w:val="21"/>
                <w:lang w:val="uk-UA" w:eastAsia="zh-CN" w:bidi="ar-SA"/>
              </w:rPr>
              <w:t>第一名1200元/人、第二名800元/人、第三名600元/人、第四至六名300元/人</w:t>
            </w:r>
          </w:p>
          <w:p>
            <w:pPr>
              <w:jc w:val="center"/>
              <w:outlineLvl w:val="9"/>
              <w:rPr>
                <w:rFonts w:hint="eastAsia" w:ascii="仿宋_GB2312" w:hAnsi="Times New Roman" w:eastAsia="仿宋_GB2312" w:cs="Times New Roman"/>
                <w:b w:val="0"/>
                <w:bCs w:val="0"/>
                <w:kern w:val="2"/>
                <w:sz w:val="21"/>
                <w:szCs w:val="21"/>
                <w:lang w:val="uk-UA" w:eastAsia="zh-CN" w:bidi="ar-SA"/>
              </w:rPr>
            </w:pPr>
          </w:p>
        </w:tc>
        <w:tc>
          <w:tcPr>
            <w:tcW w:w="1080" w:type="dxa"/>
            <w:tcBorders>
              <w:top w:val="single" w:color="auto" w:sz="4" w:space="0"/>
              <w:left w:val="single" w:color="auto" w:sz="4" w:space="0"/>
              <w:bottom w:val="single" w:color="auto" w:sz="4" w:space="0"/>
              <w:right w:val="single" w:color="auto" w:sz="4" w:space="0"/>
            </w:tcBorders>
            <w:shd w:val="clear" w:color="auto" w:fill="FFFFFF"/>
            <w:vAlign w:val="center"/>
          </w:tcPr>
          <w:p>
            <w:pPr>
              <w:overflowPunct w:val="0"/>
              <w:autoSpaceDE w:val="0"/>
              <w:autoSpaceDN w:val="0"/>
              <w:adjustRightInd w:val="0"/>
              <w:snapToGrid w:val="0"/>
              <w:jc w:val="center"/>
              <w:textAlignment w:val="baseline"/>
              <w:outlineLvl w:val="9"/>
              <w:rPr>
                <w:rFonts w:hint="eastAsia" w:ascii="仿宋_GB2312" w:hAnsi="仿宋_GB2312"/>
              </w:rPr>
            </w:pPr>
            <w:r>
              <w:rPr>
                <w:rFonts w:hint="eastAsia" w:ascii="仿宋_GB2312" w:hAnsi="仿宋_GB2312"/>
              </w:rPr>
              <w:t>73595</w:t>
            </w:r>
          </w:p>
        </w:tc>
      </w:tr>
      <w:tr>
        <w:tblPrEx>
          <w:tblCellMar>
            <w:top w:w="0" w:type="dxa"/>
            <w:left w:w="108" w:type="dxa"/>
            <w:bottom w:w="0" w:type="dxa"/>
            <w:right w:w="108" w:type="dxa"/>
          </w:tblCellMar>
        </w:tblPrEx>
        <w:trPr>
          <w:trHeight w:val="551" w:hRule="atLeast"/>
        </w:trPr>
        <w:tc>
          <w:tcPr>
            <w:tcW w:w="107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utlineLvl w:val="9"/>
              <w:rPr>
                <w:rFonts w:hint="eastAsia" w:ascii="仿宋_GB2312" w:hAnsi="仿宋_GB2312" w:cs="宋体"/>
              </w:rPr>
            </w:pPr>
          </w:p>
        </w:tc>
        <w:tc>
          <w:tcPr>
            <w:tcW w:w="1008" w:type="dxa"/>
            <w:tcBorders>
              <w:top w:val="single" w:color="auto" w:sz="4" w:space="0"/>
              <w:left w:val="single" w:color="auto" w:sz="4" w:space="0"/>
              <w:bottom w:val="single" w:color="auto" w:sz="4" w:space="0"/>
              <w:right w:val="single" w:color="auto" w:sz="4" w:space="0"/>
            </w:tcBorders>
            <w:shd w:val="clear" w:color="auto" w:fill="FFCC99"/>
            <w:vAlign w:val="center"/>
          </w:tcPr>
          <w:p>
            <w:pPr>
              <w:overflowPunct w:val="0"/>
              <w:autoSpaceDE w:val="0"/>
              <w:autoSpaceDN w:val="0"/>
              <w:adjustRightInd w:val="0"/>
              <w:snapToGrid w:val="0"/>
              <w:jc w:val="center"/>
              <w:textAlignment w:val="baseline"/>
              <w:outlineLvl w:val="9"/>
              <w:rPr>
                <w:rFonts w:hint="eastAsia" w:ascii="仿宋_GB2312" w:hAnsi="仿宋_GB2312" w:cs="宋体"/>
              </w:rPr>
            </w:pPr>
            <w:r>
              <w:rPr>
                <w:rFonts w:hint="eastAsia" w:ascii="仿宋_GB2312" w:hAnsi="仿宋_GB2312"/>
              </w:rPr>
              <w:t>2020</w:t>
            </w:r>
          </w:p>
        </w:tc>
        <w:tc>
          <w:tcPr>
            <w:tcW w:w="1676" w:type="dxa"/>
            <w:tcBorders>
              <w:top w:val="single" w:color="auto" w:sz="4" w:space="0"/>
              <w:left w:val="single" w:color="auto" w:sz="4" w:space="0"/>
              <w:bottom w:val="single" w:color="auto" w:sz="4" w:space="0"/>
              <w:right w:val="single" w:color="auto" w:sz="4" w:space="0"/>
            </w:tcBorders>
            <w:shd w:val="clear" w:color="auto" w:fill="FFCC99"/>
            <w:vAlign w:val="center"/>
          </w:tcPr>
          <w:p>
            <w:pPr>
              <w:overflowPunct w:val="0"/>
              <w:autoSpaceDE w:val="0"/>
              <w:autoSpaceDN w:val="0"/>
              <w:adjustRightInd w:val="0"/>
              <w:snapToGrid w:val="0"/>
              <w:jc w:val="center"/>
              <w:textAlignment w:val="baseline"/>
              <w:outlineLvl w:val="9"/>
              <w:rPr>
                <w:rFonts w:hint="eastAsia" w:ascii="仿宋_GB2312" w:hAnsi="仿宋_GB2312"/>
              </w:rPr>
            </w:pPr>
            <w:r>
              <w:rPr>
                <w:rFonts w:hint="eastAsia" w:ascii="仿宋_GB2312" w:hAnsi="仿宋_GB2312"/>
              </w:rPr>
              <w:t>188</w:t>
            </w:r>
          </w:p>
        </w:tc>
        <w:tc>
          <w:tcPr>
            <w:tcW w:w="3375" w:type="dxa"/>
            <w:tcBorders>
              <w:top w:val="single" w:color="auto" w:sz="4" w:space="0"/>
              <w:left w:val="single" w:color="auto" w:sz="4" w:space="0"/>
              <w:bottom w:val="single" w:color="auto" w:sz="4" w:space="0"/>
              <w:right w:val="single" w:color="auto" w:sz="4" w:space="0"/>
            </w:tcBorders>
            <w:shd w:val="clear" w:color="auto" w:fill="FFCC99"/>
            <w:vAlign w:val="center"/>
          </w:tcPr>
          <w:p>
            <w:pPr>
              <w:jc w:val="center"/>
              <w:outlineLvl w:val="9"/>
              <w:rPr>
                <w:rFonts w:hint="eastAsia" w:ascii="仿宋_GB2312" w:hAnsi="Times New Roman" w:eastAsia="仿宋_GB2312" w:cs="Times New Roman"/>
                <w:b w:val="0"/>
                <w:bCs w:val="0"/>
                <w:kern w:val="2"/>
                <w:sz w:val="21"/>
                <w:szCs w:val="21"/>
                <w:lang w:val="uk-UA" w:eastAsia="zh-CN" w:bidi="ar-SA"/>
              </w:rPr>
            </w:pPr>
            <w:r>
              <w:rPr>
                <w:rFonts w:hint="eastAsia" w:ascii="仿宋_GB2312" w:hAnsi="Times New Roman" w:eastAsia="仿宋_GB2312" w:cs="Times New Roman"/>
                <w:b w:val="0"/>
                <w:bCs w:val="0"/>
                <w:kern w:val="2"/>
                <w:sz w:val="21"/>
                <w:szCs w:val="21"/>
                <w:lang w:val="uk-UA" w:eastAsia="zh-CN" w:bidi="ar-SA"/>
              </w:rPr>
              <w:t>一等奖600元/人、二等奖300元/人</w:t>
            </w:r>
          </w:p>
        </w:tc>
        <w:tc>
          <w:tcPr>
            <w:tcW w:w="1080" w:type="dxa"/>
            <w:tcBorders>
              <w:top w:val="single" w:color="auto" w:sz="4" w:space="0"/>
              <w:left w:val="single" w:color="auto" w:sz="4" w:space="0"/>
              <w:bottom w:val="single" w:color="auto" w:sz="4" w:space="0"/>
              <w:right w:val="single" w:color="auto" w:sz="4" w:space="0"/>
            </w:tcBorders>
            <w:shd w:val="clear" w:color="auto" w:fill="FFCC99"/>
            <w:vAlign w:val="center"/>
          </w:tcPr>
          <w:p>
            <w:pPr>
              <w:overflowPunct w:val="0"/>
              <w:autoSpaceDE w:val="0"/>
              <w:autoSpaceDN w:val="0"/>
              <w:adjustRightInd w:val="0"/>
              <w:snapToGrid w:val="0"/>
              <w:jc w:val="center"/>
              <w:textAlignment w:val="baseline"/>
              <w:outlineLvl w:val="9"/>
              <w:rPr>
                <w:rFonts w:hint="eastAsia" w:ascii="仿宋_GB2312" w:hAnsi="仿宋_GB2312"/>
              </w:rPr>
            </w:pPr>
            <w:r>
              <w:rPr>
                <w:rFonts w:hint="eastAsia" w:ascii="仿宋_GB2312" w:hAnsi="仿宋_GB2312"/>
              </w:rPr>
              <w:t>57820</w:t>
            </w:r>
          </w:p>
        </w:tc>
      </w:tr>
    </w:tbl>
    <w:p>
      <w:pPr>
        <w:outlineLvl w:val="9"/>
      </w:pPr>
    </w:p>
    <w:p>
      <w:pPr>
        <w:outlineLvl w:val="9"/>
        <w:rPr>
          <w:rFonts w:hint="eastAsia" w:ascii="MS Sans Serif" w:hAnsi="MS Sans Serif"/>
          <w:sz w:val="24"/>
          <w:szCs w:val="24"/>
        </w:rPr>
      </w:pPr>
      <w:r>
        <w:rPr>
          <w:rFonts w:ascii="MS Sans Serif" w:hAnsi="MS Sans Serif"/>
          <w:sz w:val="24"/>
          <w:szCs w:val="24"/>
        </w:rPr>
        <w:drawing>
          <wp:inline distT="0" distB="0" distL="114300" distR="114300">
            <wp:extent cx="2562225" cy="1531620"/>
            <wp:effectExtent l="0" t="0" r="9525" b="11430"/>
            <wp:docPr id="1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2"/>
                    <pic:cNvPicPr>
                      <a:picLocks noChangeAspect="1"/>
                    </pic:cNvPicPr>
                  </pic:nvPicPr>
                  <pic:blipFill>
                    <a:blip r:embed="rId125"/>
                    <a:stretch>
                      <a:fillRect/>
                    </a:stretch>
                  </pic:blipFill>
                  <pic:spPr>
                    <a:xfrm>
                      <a:off x="0" y="0"/>
                      <a:ext cx="2562225" cy="1531620"/>
                    </a:xfrm>
                    <a:prstGeom prst="rect">
                      <a:avLst/>
                    </a:prstGeom>
                    <a:noFill/>
                    <a:ln>
                      <a:noFill/>
                    </a:ln>
                  </pic:spPr>
                </pic:pic>
              </a:graphicData>
            </a:graphic>
          </wp:inline>
        </w:drawing>
      </w:r>
      <w:r>
        <w:rPr>
          <w:rFonts w:ascii="宋体" w:hAnsi="宋体" w:cs="宋体"/>
          <w:kern w:val="0"/>
          <w:sz w:val="24"/>
          <w:szCs w:val="24"/>
        </w:rPr>
        <w:drawing>
          <wp:inline distT="0" distB="0" distL="114300" distR="114300">
            <wp:extent cx="2505075" cy="1530985"/>
            <wp:effectExtent l="0" t="0" r="9525" b="12065"/>
            <wp:docPr id="1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3"/>
                    <pic:cNvPicPr>
                      <a:picLocks noChangeAspect="1"/>
                    </pic:cNvPicPr>
                  </pic:nvPicPr>
                  <pic:blipFill>
                    <a:blip r:embed="rId126"/>
                    <a:stretch>
                      <a:fillRect/>
                    </a:stretch>
                  </pic:blipFill>
                  <pic:spPr>
                    <a:xfrm>
                      <a:off x="0" y="0"/>
                      <a:ext cx="2505075" cy="1530985"/>
                    </a:xfrm>
                    <a:prstGeom prst="rect">
                      <a:avLst/>
                    </a:prstGeom>
                    <a:noFill/>
                    <a:ln>
                      <a:noFill/>
                    </a:ln>
                  </pic:spPr>
                </pic:pic>
              </a:graphicData>
            </a:graphic>
          </wp:inline>
        </w:drawing>
      </w:r>
      <w:r>
        <w:rPr>
          <w:rFonts w:ascii="宋体" w:hAnsi="宋体" w:cs="宋体"/>
          <w:kern w:val="0"/>
          <w:sz w:val="24"/>
          <w:szCs w:val="24"/>
        </w:rPr>
        <w:drawing>
          <wp:inline distT="0" distB="0" distL="114300" distR="114300">
            <wp:extent cx="2574290" cy="3181350"/>
            <wp:effectExtent l="0" t="0" r="16510" b="0"/>
            <wp:docPr id="169" name="图片 14" descr="8I$5]9)IUB~1]RLEG04{9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4" descr="8I$5]9)IUB~1]RLEG04{9LC"/>
                    <pic:cNvPicPr>
                      <a:picLocks noChangeAspect="1"/>
                    </pic:cNvPicPr>
                  </pic:nvPicPr>
                  <pic:blipFill>
                    <a:blip r:embed="rId127"/>
                    <a:stretch>
                      <a:fillRect/>
                    </a:stretch>
                  </pic:blipFill>
                  <pic:spPr>
                    <a:xfrm>
                      <a:off x="0" y="0"/>
                      <a:ext cx="2574290" cy="3181350"/>
                    </a:xfrm>
                    <a:prstGeom prst="rect">
                      <a:avLst/>
                    </a:prstGeom>
                    <a:noFill/>
                    <a:ln>
                      <a:noFill/>
                    </a:ln>
                  </pic:spPr>
                </pic:pic>
              </a:graphicData>
            </a:graphic>
          </wp:inline>
        </w:drawing>
      </w:r>
      <w:r>
        <w:rPr>
          <w:rFonts w:hint="eastAsia" w:ascii="宋体" w:hAnsi="宋体" w:cs="宋体"/>
          <w:kern w:val="0"/>
          <w:sz w:val="24"/>
          <w:szCs w:val="24"/>
          <w:lang w:val="en-US" w:eastAsia="zh-CN"/>
        </w:rPr>
        <w:t xml:space="preserve"> </w:t>
      </w:r>
      <w:r>
        <w:rPr>
          <w:rFonts w:ascii="宋体" w:hAnsi="宋体" w:cs="宋体"/>
          <w:kern w:val="0"/>
          <w:sz w:val="24"/>
          <w:szCs w:val="24"/>
        </w:rPr>
        <w:drawing>
          <wp:inline distT="0" distB="0" distL="114300" distR="114300">
            <wp:extent cx="2545080" cy="3105150"/>
            <wp:effectExtent l="0" t="0" r="7620" b="0"/>
            <wp:docPr id="168" name="图片 15" descr="YPJ3V){%{H9QSE%UV{~8K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5" descr="YPJ3V){%{H9QSE%UV{~8K_7"/>
                    <pic:cNvPicPr>
                      <a:picLocks noChangeAspect="1"/>
                    </pic:cNvPicPr>
                  </pic:nvPicPr>
                  <pic:blipFill>
                    <a:blip r:embed="rId128"/>
                    <a:stretch>
                      <a:fillRect/>
                    </a:stretch>
                  </pic:blipFill>
                  <pic:spPr>
                    <a:xfrm>
                      <a:off x="0" y="0"/>
                      <a:ext cx="2545080" cy="3105150"/>
                    </a:xfrm>
                    <a:prstGeom prst="rect">
                      <a:avLst/>
                    </a:prstGeom>
                    <a:noFill/>
                    <a:ln>
                      <a:noFill/>
                    </a:ln>
                  </pic:spPr>
                </pic:pic>
              </a:graphicData>
            </a:graphic>
          </wp:inline>
        </w:drawing>
      </w:r>
    </w:p>
    <w:p>
      <w:pPr>
        <w:ind w:firstLine="548" w:firstLineChars="196"/>
        <w:outlineLvl w:val="9"/>
        <w:rPr>
          <w:rFonts w:hint="eastAsia" w:ascii="仿宋_GB2312" w:hAnsi="仿宋_GB2312" w:cs="仿宋_GB2312" w:eastAsiaTheme="minorEastAsia"/>
          <w:b/>
          <w:bCs/>
          <w:sz w:val="28"/>
          <w:szCs w:val="28"/>
        </w:rPr>
      </w:pPr>
      <w:r>
        <w:rPr>
          <w:rFonts w:ascii="仿宋_GB2312" w:hAnsi="华文仿宋"/>
          <w:sz w:val="28"/>
          <w:szCs w:val="28"/>
        </w:rPr>
        <w:t xml:space="preserve">                  </w:t>
      </w:r>
      <w:r>
        <w:rPr>
          <w:rFonts w:hint="eastAsia" w:ascii="仿宋_GB2312" w:hAnsi="Times New Roman" w:eastAsia="仿宋_GB2312" w:cs="Times New Roman"/>
          <w:b w:val="0"/>
          <w:bCs w:val="0"/>
          <w:kern w:val="2"/>
          <w:sz w:val="28"/>
          <w:szCs w:val="28"/>
          <w:lang w:val="en-US" w:eastAsia="zh-CN" w:bidi="ar-SA"/>
        </w:rPr>
        <w:t>国家奖学金获得者照片</w:t>
      </w:r>
      <w:bookmarkStart w:id="133" w:name="_Toc2281"/>
    </w:p>
    <w:p>
      <w:pPr>
        <w:ind w:firstLine="562" w:firstLineChars="200"/>
        <w:outlineLvl w:val="9"/>
        <w:rPr>
          <w:rFonts w:hint="eastAsia" w:ascii="仿宋_GB2312" w:hAnsi="Times New Roman" w:eastAsia="仿宋_GB2312" w:cs="Times New Roman"/>
          <w:b/>
          <w:bCs/>
          <w:kern w:val="2"/>
          <w:sz w:val="28"/>
          <w:szCs w:val="28"/>
          <w:lang w:val="en-US" w:eastAsia="zh-CN" w:bidi="ar-SA"/>
        </w:rPr>
      </w:pPr>
      <w:r>
        <w:rPr>
          <w:rFonts w:hint="eastAsia" w:ascii="仿宋_GB2312" w:hAnsi="Times New Roman" w:eastAsia="仿宋_GB2312" w:cs="Times New Roman"/>
          <w:b/>
          <w:bCs/>
          <w:kern w:val="2"/>
          <w:sz w:val="28"/>
          <w:szCs w:val="28"/>
          <w:lang w:val="en-US" w:eastAsia="zh-CN" w:bidi="ar-SA"/>
        </w:rPr>
        <w:t>4.6疫情防控</w:t>
      </w:r>
      <w:bookmarkEnd w:id="125"/>
      <w:bookmarkEnd w:id="133"/>
      <w:bookmarkStart w:id="134" w:name="_Toc87863230"/>
      <w:bookmarkStart w:id="135" w:name="_Toc13099"/>
    </w:p>
    <w:p>
      <w:pPr>
        <w:ind w:firstLine="560" w:firstLineChars="200"/>
        <w:outlineLvl w:val="9"/>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为贯彻落实国家、省、市疫情防控工作安排部署，切实做好全区学校秋季学期开学和新冠肺炎疫情防控工作，巩固好来之不易的防控成果，守护好师生生命健康安全，按照《山西省教育厅关于进一步做好近期全省学校疫情防控工作的紧急通知》晋教体函〔2021〕57号文件文件精神和部署要求，切实做好学校2021年各年级开学教学工作，全力维护广大师生的身体健康和生命安全，维护学校正常的教育教学秩序和社会稳定，特制订《大同市体育运动学校2021年新冠肺炎疫情防控期间秋季开学准备工作方案》，成立大同市体校疫情防控工作领导小组，下设防控工作领导小组办公室，划分五个小组，从七个方面做好学校的疫情防控工作。</w:t>
      </w:r>
    </w:p>
    <w:p>
      <w:pPr>
        <w:pStyle w:val="2"/>
        <w:ind w:left="0" w:leftChars="0" w:firstLine="0" w:firstLineChars="0"/>
        <w:rPr>
          <w:rFonts w:hint="default"/>
          <w:b/>
          <w:bCs/>
          <w:lang w:val="en-US" w:eastAsia="zh-CN"/>
        </w:rPr>
      </w:pPr>
      <w:r>
        <w:rPr>
          <w:rFonts w:hint="eastAsia"/>
          <w:b/>
          <w:bCs/>
          <w:lang w:val="en-US" w:eastAsia="zh-CN"/>
        </w:rPr>
        <w:t xml:space="preserve"> </w:t>
      </w:r>
      <w:r>
        <w:rPr>
          <w:rFonts w:hint="default"/>
          <w:b/>
          <w:bCs/>
          <w:lang w:val="en-US" w:eastAsia="zh-CN"/>
        </w:rPr>
        <w:drawing>
          <wp:inline distT="0" distB="0" distL="114300" distR="114300">
            <wp:extent cx="2526665" cy="1889125"/>
            <wp:effectExtent l="0" t="0" r="6985" b="15875"/>
            <wp:docPr id="44" name="图片 44" descr="微信图片_2021111916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11119162116"/>
                    <pic:cNvPicPr>
                      <a:picLocks noChangeAspect="1"/>
                    </pic:cNvPicPr>
                  </pic:nvPicPr>
                  <pic:blipFill>
                    <a:blip r:embed="rId129"/>
                    <a:stretch>
                      <a:fillRect/>
                    </a:stretch>
                  </pic:blipFill>
                  <pic:spPr>
                    <a:xfrm>
                      <a:off x="0" y="0"/>
                      <a:ext cx="2526665" cy="1889125"/>
                    </a:xfrm>
                    <a:prstGeom prst="rect">
                      <a:avLst/>
                    </a:prstGeom>
                  </pic:spPr>
                </pic:pic>
              </a:graphicData>
            </a:graphic>
          </wp:inline>
        </w:drawing>
      </w:r>
      <w:r>
        <w:rPr>
          <w:rFonts w:hint="eastAsia"/>
          <w:b/>
          <w:bCs/>
          <w:lang w:val="en-US" w:eastAsia="zh-CN"/>
        </w:rPr>
        <w:t xml:space="preserve"> </w:t>
      </w:r>
      <w:r>
        <w:rPr>
          <w:rFonts w:hint="default"/>
          <w:b/>
          <w:bCs/>
          <w:lang w:val="en-US" w:eastAsia="zh-CN"/>
        </w:rPr>
        <w:drawing>
          <wp:inline distT="0" distB="0" distL="114300" distR="114300">
            <wp:extent cx="2531745" cy="1899285"/>
            <wp:effectExtent l="0" t="0" r="1905" b="5715"/>
            <wp:docPr id="43" name="图片 43" descr="微信图片_2021111916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11119162123"/>
                    <pic:cNvPicPr>
                      <a:picLocks noChangeAspect="1"/>
                    </pic:cNvPicPr>
                  </pic:nvPicPr>
                  <pic:blipFill>
                    <a:blip r:embed="rId130"/>
                    <a:stretch>
                      <a:fillRect/>
                    </a:stretch>
                  </pic:blipFill>
                  <pic:spPr>
                    <a:xfrm>
                      <a:off x="0" y="0"/>
                      <a:ext cx="2531745" cy="1899285"/>
                    </a:xfrm>
                    <a:prstGeom prst="rect">
                      <a:avLst/>
                    </a:prstGeom>
                  </pic:spPr>
                </pic:pic>
              </a:graphicData>
            </a:graphic>
          </wp:inline>
        </w:drawing>
      </w:r>
    </w:p>
    <w:p>
      <w:pPr>
        <w:rPr>
          <w:rFonts w:hint="default" w:ascii="仿宋_GB2312" w:hAnsi="Times New Roman" w:eastAsia="仿宋_GB2312" w:cs="Times New Roman"/>
          <w:b w:val="0"/>
          <w:bCs w:val="0"/>
          <w:kern w:val="2"/>
          <w:sz w:val="28"/>
          <w:szCs w:val="28"/>
          <w:lang w:val="en-US" w:eastAsia="zh-CN" w:bidi="ar-SA"/>
        </w:rPr>
      </w:pPr>
      <w:r>
        <w:rPr>
          <w:rFonts w:hint="eastAsia"/>
          <w:lang w:val="en-US" w:eastAsia="zh-CN"/>
        </w:rPr>
        <w:t xml:space="preserve">              </w:t>
      </w:r>
      <w:r>
        <w:rPr>
          <w:rFonts w:hint="eastAsia" w:ascii="仿宋_GB2312" w:hAnsi="Times New Roman" w:eastAsia="仿宋_GB2312" w:cs="Times New Roman"/>
          <w:b w:val="0"/>
          <w:bCs w:val="0"/>
          <w:kern w:val="2"/>
          <w:sz w:val="28"/>
          <w:szCs w:val="28"/>
          <w:lang w:val="en-US" w:eastAsia="zh-CN" w:bidi="ar-SA"/>
        </w:rPr>
        <w:t>防控演练                      疫苗接种</w:t>
      </w:r>
    </w:p>
    <w:bookmarkEnd w:id="134"/>
    <w:bookmarkEnd w:id="135"/>
    <w:p>
      <w:pPr>
        <w:pStyle w:val="5"/>
        <w:keepNext/>
        <w:keepLines/>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zh-CN" w:bidi="ar-SA"/>
        </w:rPr>
      </w:pPr>
      <w:bookmarkStart w:id="136" w:name="_Toc19886"/>
      <w:bookmarkStart w:id="137" w:name="_Toc87863231"/>
      <w:bookmarkStart w:id="138" w:name="_Toc7062"/>
      <w:r>
        <w:rPr>
          <w:rFonts w:hint="eastAsia" w:ascii="仿宋_GB2312" w:hAnsi="Times New Roman" w:eastAsia="仿宋_GB2312" w:cs="Times New Roman"/>
          <w:b/>
          <w:bCs/>
          <w:kern w:val="2"/>
          <w:sz w:val="28"/>
          <w:szCs w:val="28"/>
          <w:lang w:val="en-US" w:eastAsia="zh-CN" w:bidi="ar-SA"/>
        </w:rPr>
        <w:t>5 .服务贡献</w:t>
      </w:r>
      <w:bookmarkEnd w:id="136"/>
      <w:bookmarkEnd w:id="137"/>
      <w:bookmarkEnd w:id="138"/>
    </w:p>
    <w:p>
      <w:pPr>
        <w:pStyle w:val="5"/>
        <w:keepNext/>
        <w:keepLines/>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zh-CN" w:bidi="ar-SA"/>
        </w:rPr>
      </w:pPr>
      <w:bookmarkStart w:id="139" w:name="_Toc28401"/>
      <w:bookmarkStart w:id="140" w:name="_Toc87863232"/>
      <w:bookmarkStart w:id="141" w:name="_Toc21755"/>
      <w:r>
        <w:rPr>
          <w:rFonts w:hint="eastAsia" w:ascii="仿宋_GB2312" w:hAnsi="Times New Roman" w:eastAsia="仿宋_GB2312" w:cs="Times New Roman"/>
          <w:b/>
          <w:bCs/>
          <w:kern w:val="2"/>
          <w:sz w:val="28"/>
          <w:szCs w:val="28"/>
          <w:lang w:val="en-US" w:eastAsia="zh-CN" w:bidi="ar-SA"/>
        </w:rPr>
        <w:t>5.1 促进产教融合，实现校企双元育人</w:t>
      </w:r>
      <w:bookmarkEnd w:id="139"/>
      <w:bookmarkEnd w:id="140"/>
      <w:bookmarkEnd w:id="141"/>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党的十九报告指出，要建设知识型、技能型、创新型劳动者大军，弘扬劳模精神和工匠精神，营造劳动光荣的社会风尚和精益求精的敬业风气。</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在中职教育实施过程中，可以看到当前社会生产力的主力人群的一些特点。中职生人群的年龄结构已经从“80后”向“90后”“00后”变化，这一部分年轻人越来越多地从关注物质的满足转变到注重精神层面的满足，马斯洛的需求层次理论中的“尊重需求”和“自我实现需求”就更加凸显。因此，我校更加重视培养学生能够从初级人才向高级人才、从传统型人才向现代型人才、从单一型人才向复合型人才的转型，使其把自身岗位作为实现梦想的地方、把从事的事业作为实现自我理想的依托，实现成功就业和创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0070C0"/>
          <w:sz w:val="28"/>
          <w:szCs w:val="28"/>
        </w:rPr>
      </w:pPr>
      <w:r>
        <w:rPr>
          <w:rFonts w:hint="eastAsia" w:ascii="仿宋_GB2312" w:hAnsi="Times New Roman" w:eastAsia="仿宋_GB2312" w:cs="Times New Roman"/>
          <w:b w:val="0"/>
          <w:bCs w:val="0"/>
          <w:kern w:val="2"/>
          <w:sz w:val="28"/>
          <w:szCs w:val="28"/>
          <w:lang w:val="en-US" w:eastAsia="zh-CN" w:bidi="ar-SA"/>
        </w:rPr>
        <w:t>作为中职体育学校，担负着教学和训练双重任务，如何能够使不同层次的运动员在毕业时都有更多的选择机会和更大的发展空间，顺利就业并在职业岗位上获得良好的发展是我校的一项长期重要工作。</w:t>
      </w:r>
    </w:p>
    <w:p>
      <w:pPr>
        <w:pStyle w:val="5"/>
        <w:keepNext/>
        <w:keepLines/>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zh-CN" w:bidi="ar-SA"/>
        </w:rPr>
      </w:pPr>
      <w:bookmarkStart w:id="142" w:name="_Toc87863233"/>
      <w:bookmarkStart w:id="143" w:name="_Toc30423"/>
      <w:bookmarkStart w:id="144" w:name="_Toc4741"/>
      <w:r>
        <w:rPr>
          <w:rFonts w:hint="eastAsia" w:ascii="仿宋_GB2312" w:hAnsi="Times New Roman" w:eastAsia="仿宋_GB2312" w:cs="Times New Roman"/>
          <w:b/>
          <w:bCs/>
          <w:kern w:val="2"/>
          <w:sz w:val="28"/>
          <w:szCs w:val="28"/>
          <w:lang w:val="en-US" w:eastAsia="zh-CN" w:bidi="ar-SA"/>
        </w:rPr>
        <w:t>5.2 开展高质量培训与技术服务</w:t>
      </w:r>
      <w:bookmarkEnd w:id="142"/>
      <w:bookmarkEnd w:id="143"/>
      <w:bookmarkEnd w:id="144"/>
    </w:p>
    <w:p>
      <w:pPr>
        <w:pStyle w:val="5"/>
        <w:keepNext/>
        <w:keepLines/>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zh-CN" w:bidi="ar-SA"/>
        </w:rPr>
      </w:pPr>
      <w:bookmarkStart w:id="145" w:name="_Toc6085"/>
      <w:bookmarkStart w:id="146" w:name="_Toc7281"/>
      <w:bookmarkStart w:id="147" w:name="_Toc87863234"/>
      <w:r>
        <w:rPr>
          <w:rFonts w:hint="eastAsia" w:ascii="仿宋_GB2312" w:hAnsi="Times New Roman" w:eastAsia="仿宋_GB2312" w:cs="Times New Roman"/>
          <w:b/>
          <w:bCs/>
          <w:kern w:val="2"/>
          <w:sz w:val="28"/>
          <w:szCs w:val="28"/>
          <w:lang w:val="en-US" w:eastAsia="zh-CN" w:bidi="ar-SA"/>
        </w:rPr>
        <w:t>5.2.1培训服务</w:t>
      </w:r>
      <w:bookmarkEnd w:id="145"/>
      <w:bookmarkEnd w:id="146"/>
      <w:bookmarkEnd w:id="147"/>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学校为市内多所小学提供体育教学培训，由学校专业教练员到小学任第二课堂教师，帮助他们提高体育教育水平。</w:t>
      </w:r>
    </w:p>
    <w:p>
      <w:pPr>
        <w:pStyle w:val="5"/>
        <w:keepNext/>
        <w:keepLines/>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zh-CN" w:bidi="ar-SA"/>
        </w:rPr>
      </w:pPr>
      <w:bookmarkStart w:id="148" w:name="_Toc87863235"/>
      <w:bookmarkStart w:id="149" w:name="_Toc27187"/>
      <w:bookmarkStart w:id="150" w:name="_Toc26072"/>
      <w:r>
        <w:rPr>
          <w:rFonts w:hint="eastAsia" w:ascii="仿宋_GB2312" w:hAnsi="Times New Roman" w:eastAsia="仿宋_GB2312" w:cs="Times New Roman"/>
          <w:b/>
          <w:bCs/>
          <w:kern w:val="2"/>
          <w:sz w:val="28"/>
          <w:szCs w:val="28"/>
          <w:lang w:val="en-US" w:eastAsia="zh-CN" w:bidi="ar-SA"/>
        </w:rPr>
        <w:t xml:space="preserve">5.2.2 </w:t>
      </w:r>
      <w:bookmarkEnd w:id="148"/>
      <w:bookmarkStart w:id="151" w:name="_Toc87863236"/>
      <w:r>
        <w:rPr>
          <w:rFonts w:hint="eastAsia" w:ascii="仿宋_GB2312" w:hAnsi="Times New Roman" w:eastAsia="仿宋_GB2312" w:cs="Times New Roman"/>
          <w:b/>
          <w:bCs/>
          <w:kern w:val="2"/>
          <w:sz w:val="28"/>
          <w:szCs w:val="28"/>
          <w:lang w:val="en-US" w:eastAsia="zh-CN" w:bidi="ar-SA"/>
        </w:rPr>
        <w:t>技术服务</w:t>
      </w:r>
      <w:bookmarkEnd w:id="149"/>
      <w:bookmarkEnd w:id="150"/>
      <w:bookmarkEnd w:id="151"/>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 xml:space="preserve">派遣160人∕次师生参加省、市体育局、组织的各类体育比赛，以及市公务员、辅警招考提供专业技术服务，包括竞赛组织、裁判员输出。 </w:t>
      </w:r>
    </w:p>
    <w:p>
      <w:pPr>
        <w:pStyle w:val="5"/>
        <w:keepNext/>
        <w:keepLines/>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zh-CN" w:bidi="ar-SA"/>
        </w:rPr>
      </w:pPr>
      <w:bookmarkStart w:id="152" w:name="_Toc23513"/>
      <w:bookmarkStart w:id="153" w:name="_Toc8685"/>
      <w:bookmarkStart w:id="154" w:name="_Toc87863237"/>
      <w:r>
        <w:rPr>
          <w:rFonts w:hint="eastAsia" w:ascii="仿宋_GB2312" w:hAnsi="Times New Roman" w:eastAsia="仿宋_GB2312" w:cs="Times New Roman"/>
          <w:b/>
          <w:bCs/>
          <w:kern w:val="2"/>
          <w:sz w:val="28"/>
          <w:szCs w:val="28"/>
          <w:lang w:val="en-US" w:eastAsia="zh-CN" w:bidi="ar-SA"/>
        </w:rPr>
        <w:t>5.3 人人持证，技能社会</w:t>
      </w:r>
      <w:bookmarkEnd w:id="152"/>
      <w:bookmarkEnd w:id="153"/>
      <w:bookmarkEnd w:id="154"/>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我们根据省、市级要求，根据我校所需认定的工种积极与省级取证单位联系，认真统计毕业生的相关资料，2021年6月22日组织毕业生参加认证考试，现已圆满完成了毕业生省级取证任务。</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2021年我校承担毕业生“人人持证、技能社会”建设助力转型发展提质增效省级164个名额的任务，其中99名毕业生获得计算机程序员证书。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在2021年举行的山西省第十六届运动会资格赛比赛中，我校7个运动项目共获得43枚金牌、总分1239分，其中43人取得一级运动员证书，105人取得二级运动员证书。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2021年我校</w:t>
      </w:r>
      <w:r>
        <w:rPr>
          <w:rFonts w:hint="eastAsia" w:ascii="仿宋_GB2312" w:hAnsi="Times New Roman" w:eastAsia="仿宋_GB2312"/>
          <w:sz w:val="28"/>
          <w:szCs w:val="28"/>
          <w:lang w:eastAsia="zh-CN"/>
        </w:rPr>
        <w:t>学生文化基础课合格率</w:t>
      </w:r>
      <w:r>
        <w:rPr>
          <w:rFonts w:hint="eastAsia" w:ascii="仿宋_GB2312" w:hAnsi="Times New Roman" w:eastAsia="仿宋_GB2312"/>
          <w:sz w:val="28"/>
          <w:szCs w:val="28"/>
          <w:lang w:val="en-US" w:eastAsia="zh-CN"/>
        </w:rPr>
        <w:t>96%，学生体质测评合格率95.03%，</w:t>
      </w:r>
      <w:r>
        <w:rPr>
          <w:rFonts w:hint="eastAsia" w:ascii="仿宋_GB2312" w:hAnsi="Times New Roman" w:eastAsia="仿宋_GB2312" w:cs="Times New Roman"/>
          <w:b w:val="0"/>
          <w:bCs w:val="0"/>
          <w:kern w:val="2"/>
          <w:sz w:val="28"/>
          <w:szCs w:val="28"/>
          <w:lang w:val="en-US" w:eastAsia="zh-CN" w:bidi="ar-SA"/>
        </w:rPr>
        <w:t xml:space="preserve">专业技能合格率100%，毕业生证书获取率100%，毕业率100%。毕业生全部参加技能鉴定，并取得裁判员二级证书，获得率为100%。 </w:t>
      </w:r>
    </w:p>
    <w:p>
      <w:pPr>
        <w:pStyle w:val="5"/>
        <w:keepNext/>
        <w:keepLines/>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zh-CN" w:bidi="ar-SA"/>
        </w:rPr>
      </w:pPr>
      <w:bookmarkStart w:id="155" w:name="_Toc16809"/>
      <w:bookmarkStart w:id="156" w:name="_Toc11294"/>
      <w:r>
        <w:rPr>
          <w:rFonts w:hint="eastAsia" w:ascii="仿宋_GB2312" w:hAnsi="Times New Roman" w:eastAsia="仿宋_GB2312" w:cs="Times New Roman"/>
          <w:b/>
          <w:bCs/>
          <w:kern w:val="2"/>
          <w:sz w:val="28"/>
          <w:szCs w:val="28"/>
          <w:lang w:val="en-US" w:eastAsia="zh-CN" w:bidi="ar-SA"/>
        </w:rPr>
        <w:t>5.4 多策并举，精准帮扶</w:t>
      </w:r>
      <w:bookmarkEnd w:id="155"/>
      <w:bookmarkEnd w:id="156"/>
    </w:p>
    <w:p>
      <w:pPr>
        <w:pStyle w:val="5"/>
        <w:keepNext/>
        <w:keepLines/>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zh-CN" w:bidi="ar-SA"/>
        </w:rPr>
      </w:pPr>
      <w:bookmarkStart w:id="157" w:name="_Toc27558"/>
      <w:bookmarkStart w:id="158" w:name="_Toc20453"/>
      <w:r>
        <w:rPr>
          <w:rFonts w:hint="eastAsia" w:ascii="仿宋_GB2312" w:hAnsi="Times New Roman" w:eastAsia="仿宋_GB2312" w:cs="Times New Roman"/>
          <w:b/>
          <w:bCs/>
          <w:kern w:val="2"/>
          <w:sz w:val="28"/>
          <w:szCs w:val="28"/>
          <w:lang w:val="en-US" w:eastAsia="zh-CN" w:bidi="ar-SA"/>
        </w:rPr>
        <w:t>5.4.1 强化帮扶团队</w:t>
      </w:r>
      <w:bookmarkEnd w:id="157"/>
      <w:bookmarkEnd w:id="158"/>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学校党委深入贯彻落实习近平总书记视察山西重要讲话精神和建党100周年重要讲话精神，高度重视对口扶贫工作，出台了帮扶责任人管理制度，制定了奖励办法，细化了工作任务,在全校教职工中选配了3名党员驻村帮扶。要求驻村帮扶党员根据上级相关文件精神,以习近平新时代中国特色社会主义思想为背景，以习近平关于乡村振兴重要讲话为根本遵循。不断巩固脱贫成果，与村两委紧密合作，履职尽责，推动乡村振兴工作稳步前进；履行好驻村干部的工作职责,扎实做好驻村帮扶工作,切实解决村民的生产生活问题,按照“转变作风、提高效率、服务基层、推动跨越”为主题,围绕党的建设、农民增收两大目标,推进全村各项事业的发展。</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灵丘县柳科乡伊家店村位于乡政府东北15公里处，耕地面积7120 亩；户籍人口 291户814人，常住人口 130户318人；脱贫户总规模95户223人。三类重点监测对象 4 户9人（已解除返贫风险3户8人），其中脱贫不稳定户2户5人，边缘易致贫户1户3人，严重困难户1户1人。全村共有低保户68 户86人，特困供养户15户15人，残疾人22人。公益岗 14 人，务工人员共有449人，二本以上在校大学生5人，享受雨露计划2人。村内产业主要以养殖、种植业为主，2020年村集体经济收入25.015万元。2021年到目前集体经济收入4.95万元。</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ascii="楷体_GB2312" w:hAnsi="Calibri" w:eastAsia="楷体_GB2312" w:cs="黑体"/>
          <w:b w:val="0"/>
          <w:bCs w:val="0"/>
          <w:w w:val="98"/>
          <w:kern w:val="2"/>
          <w:sz w:val="30"/>
          <w:szCs w:val="30"/>
        </w:rPr>
      </w:pPr>
      <w:r>
        <w:rPr>
          <w:rFonts w:hint="eastAsia" w:ascii="仿宋_GB2312" w:hAnsi="Times New Roman" w:eastAsia="仿宋_GB2312" w:cs="Times New Roman"/>
          <w:b w:val="0"/>
          <w:bCs w:val="0"/>
          <w:kern w:val="2"/>
          <w:sz w:val="28"/>
          <w:szCs w:val="28"/>
          <w:lang w:val="en-US" w:eastAsia="zh-CN" w:bidi="ar-SA"/>
        </w:rPr>
        <w:t>驻村工作队带领学校帮扶责任人通过开展进村入户、清洁家园、送温暖等一系列活动，在改善村民经济收入的同时，将农村低保等民生工作及关爱留守儿童和空巢老人、控辍保学教育等教育工作作为工作的重点，有效地提升了村民精神层面的获得感。</w:t>
      </w:r>
      <w:r>
        <w:rPr>
          <w:rFonts w:hint="eastAsia" w:ascii="楷体_GB2312" w:hAnsi="Calibri" w:eastAsia="楷体_GB2312" w:cs="黑体"/>
          <w:b w:val="0"/>
          <w:bCs w:val="0"/>
          <w:w w:val="98"/>
          <w:kern w:val="2"/>
          <w:sz w:val="30"/>
          <w:szCs w:val="30"/>
        </w:rPr>
        <w:t xml:space="preserve">  </w:t>
      </w:r>
    </w:p>
    <w:p>
      <w:pPr>
        <w:outlineLvl w:val="9"/>
      </w:pPr>
      <w:r>
        <w:rPr>
          <w:rFonts w:ascii="楷体_GB2312" w:eastAsia="楷体_GB2312" w:cs="黑体"/>
          <w:w w:val="98"/>
          <w:sz w:val="30"/>
          <w:szCs w:val="30"/>
        </w:rPr>
        <w:drawing>
          <wp:inline distT="0" distB="0" distL="0" distR="0">
            <wp:extent cx="2573020" cy="1588135"/>
            <wp:effectExtent l="0" t="0" r="17780" b="12065"/>
            <wp:docPr id="118" name="图片 25" descr="D:\邢东照片\2021\9月份\微信图片_2021090308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5" descr="D:\邢东照片\2021\9月份\微信图片_20210903085655.jpg"/>
                    <pic:cNvPicPr>
                      <a:picLocks noChangeAspect="1" noChangeArrowheads="1"/>
                    </pic:cNvPicPr>
                  </pic:nvPicPr>
                  <pic:blipFill>
                    <a:blip r:embed="rId131" cstate="print"/>
                    <a:srcRect/>
                    <a:stretch>
                      <a:fillRect/>
                    </a:stretch>
                  </pic:blipFill>
                  <pic:spPr>
                    <a:xfrm>
                      <a:off x="0" y="0"/>
                      <a:ext cx="2573020" cy="1588135"/>
                    </a:xfrm>
                    <a:prstGeom prst="rect">
                      <a:avLst/>
                    </a:prstGeom>
                    <a:noFill/>
                    <a:ln w="9525">
                      <a:noFill/>
                      <a:miter lim="800000"/>
                      <a:headEnd/>
                      <a:tailEnd/>
                    </a:ln>
                  </pic:spPr>
                </pic:pic>
              </a:graphicData>
            </a:graphic>
          </wp:inline>
        </w:drawing>
      </w:r>
      <w:r>
        <w:rPr>
          <w:rFonts w:hint="eastAsia" w:ascii="楷体_GB2312" w:eastAsia="楷体_GB2312" w:cs="黑体"/>
          <w:w w:val="98"/>
          <w:sz w:val="30"/>
          <w:szCs w:val="30"/>
        </w:rPr>
        <w:t xml:space="preserve"> </w:t>
      </w:r>
      <w:r>
        <w:rPr>
          <w:rFonts w:ascii="楷体_GB2312" w:eastAsia="楷体_GB2312" w:cs="黑体"/>
          <w:w w:val="98"/>
          <w:sz w:val="30"/>
          <w:szCs w:val="30"/>
        </w:rPr>
        <w:drawing>
          <wp:inline distT="0" distB="0" distL="0" distR="0">
            <wp:extent cx="2559685" cy="1588135"/>
            <wp:effectExtent l="0" t="0" r="12065" b="12065"/>
            <wp:docPr id="119" name="图片 24" descr="D:\邢东照片\2021\9月份\微信图片_202109030856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4" descr="D:\邢东照片\2021\9月份\微信图片_202109030856551.jpg"/>
                    <pic:cNvPicPr>
                      <a:picLocks noChangeAspect="1" noChangeArrowheads="1"/>
                    </pic:cNvPicPr>
                  </pic:nvPicPr>
                  <pic:blipFill>
                    <a:blip r:embed="rId132" cstate="print"/>
                    <a:srcRect/>
                    <a:stretch>
                      <a:fillRect/>
                    </a:stretch>
                  </pic:blipFill>
                  <pic:spPr>
                    <a:xfrm>
                      <a:off x="0" y="0"/>
                      <a:ext cx="2559685" cy="1588135"/>
                    </a:xfrm>
                    <a:prstGeom prst="rect">
                      <a:avLst/>
                    </a:prstGeom>
                    <a:noFill/>
                    <a:ln w="9525">
                      <a:noFill/>
                      <a:miter lim="800000"/>
                      <a:headEnd/>
                      <a:tailEnd/>
                    </a:ln>
                  </pic:spPr>
                </pic:pic>
              </a:graphicData>
            </a:graphic>
          </wp:inline>
        </w:drawing>
      </w:r>
    </w:p>
    <w:p>
      <w:pPr>
        <w:pStyle w:val="5"/>
        <w:keepNext/>
        <w:keepLines/>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zh-CN" w:bidi="ar-SA"/>
        </w:rPr>
      </w:pPr>
      <w:bookmarkStart w:id="159" w:name="_Toc1653"/>
      <w:bookmarkStart w:id="160" w:name="_Toc22099"/>
      <w:r>
        <w:rPr>
          <w:rFonts w:hint="eastAsia" w:ascii="仿宋_GB2312" w:hAnsi="Times New Roman" w:eastAsia="仿宋_GB2312" w:cs="Times New Roman"/>
          <w:b/>
          <w:bCs/>
          <w:kern w:val="2"/>
          <w:sz w:val="28"/>
          <w:szCs w:val="28"/>
          <w:lang w:val="en-US" w:eastAsia="zh-CN" w:bidi="ar-SA"/>
        </w:rPr>
        <w:t>5.4.2 进村入户解决实际问题</w:t>
      </w:r>
      <w:bookmarkEnd w:id="159"/>
      <w:bookmarkEnd w:id="160"/>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一年来，校领导多次进村入户深入帮扶责任人，开展座谈、调研全面了解村民实际困难，并与驻村工作队研究乡村振兴的具体政策措施。</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9月2日校领导班子成员4人深入帮扶责任村进村入户开展“学党史办实事”活动。甄泽斌书记、兰雷校长进村入户询问村民生产、生活急需所盼的困难，询问身体健康情况等对于贫困户提出的急需所盼的困难，甄书记、兰校长当场逐一安排落实。在村委会与村支书、驻村工作队开展座谈，讨论下一步如何开展乡村振兴工作，带领村民发家致富巩固脱贫成果。</w:t>
      </w:r>
    </w:p>
    <w:p>
      <w:pPr>
        <w:outlineLvl w:val="9"/>
      </w:pPr>
      <w:r>
        <w:drawing>
          <wp:inline distT="0" distB="0" distL="0" distR="0">
            <wp:extent cx="2536190" cy="1489710"/>
            <wp:effectExtent l="0" t="0" r="16510" b="15240"/>
            <wp:docPr id="120" name="图片 26" descr="D:\邢东照片\2021\微信图片_202111081535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6" descr="D:\邢东照片\2021\微信图片_2021110815353226.jpg"/>
                    <pic:cNvPicPr>
                      <a:picLocks noChangeAspect="1" noChangeArrowheads="1"/>
                    </pic:cNvPicPr>
                  </pic:nvPicPr>
                  <pic:blipFill>
                    <a:blip r:embed="rId133" cstate="print"/>
                    <a:srcRect/>
                    <a:stretch>
                      <a:fillRect/>
                    </a:stretch>
                  </pic:blipFill>
                  <pic:spPr>
                    <a:xfrm>
                      <a:off x="0" y="0"/>
                      <a:ext cx="2536190" cy="1489710"/>
                    </a:xfrm>
                    <a:prstGeom prst="rect">
                      <a:avLst/>
                    </a:prstGeom>
                    <a:noFill/>
                    <a:ln w="9525">
                      <a:noFill/>
                      <a:miter lim="800000"/>
                      <a:headEnd/>
                      <a:tailEnd/>
                    </a:ln>
                  </pic:spPr>
                </pic:pic>
              </a:graphicData>
            </a:graphic>
          </wp:inline>
        </w:drawing>
      </w:r>
      <w:r>
        <w:rPr>
          <w:rFonts w:hint="eastAsia"/>
        </w:rPr>
        <w:t xml:space="preserve">  </w:t>
      </w:r>
      <w:r>
        <w:drawing>
          <wp:inline distT="0" distB="0" distL="0" distR="0">
            <wp:extent cx="2548890" cy="1510665"/>
            <wp:effectExtent l="0" t="0" r="3810" b="13335"/>
            <wp:docPr id="121" name="图片 27" descr="D:\邢东照片\2021\微信图片_202111081535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7" descr="D:\邢东照片\2021\微信图片_2021110815353235.jpg"/>
                    <pic:cNvPicPr>
                      <a:picLocks noChangeAspect="1" noChangeArrowheads="1"/>
                    </pic:cNvPicPr>
                  </pic:nvPicPr>
                  <pic:blipFill>
                    <a:blip r:embed="rId134" cstate="print"/>
                    <a:srcRect/>
                    <a:stretch>
                      <a:fillRect/>
                    </a:stretch>
                  </pic:blipFill>
                  <pic:spPr>
                    <a:xfrm>
                      <a:off x="0" y="0"/>
                      <a:ext cx="2548890" cy="1510665"/>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驻村工作队组织村民开展党史学习教育活动，学习贯彻习近平总书记在庆祝中国共产党成立100周年大会重要讲话等，组织村民开展清洁家园活动，带领村民开展全民健身活动，踢毽子、跳广场舞，提升生活幸福感。</w:t>
      </w:r>
    </w:p>
    <w:p>
      <w:pPr>
        <w:pStyle w:val="2"/>
        <w:ind w:left="0" w:leftChars="0" w:firstLine="0" w:firstLineChars="0"/>
        <w:outlineLvl w:val="9"/>
      </w:pPr>
      <w:r>
        <w:drawing>
          <wp:inline distT="0" distB="0" distL="0" distR="0">
            <wp:extent cx="2572385" cy="1464310"/>
            <wp:effectExtent l="0" t="0" r="18415" b="2540"/>
            <wp:docPr id="122" name="图片 28" descr="C:\Users\ADMINI~1\AppData\Local\Temp\WeChat Files\8adc679a06fca0128337e9f474d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8" descr="C:\Users\ADMINI~1\AppData\Local\Temp\WeChat Files\8adc679a06fca0128337e9f474d2549.jpg"/>
                    <pic:cNvPicPr>
                      <a:picLocks noChangeAspect="1" noChangeArrowheads="1"/>
                    </pic:cNvPicPr>
                  </pic:nvPicPr>
                  <pic:blipFill>
                    <a:blip r:embed="rId135" cstate="print"/>
                    <a:srcRect/>
                    <a:stretch>
                      <a:fillRect/>
                    </a:stretch>
                  </pic:blipFill>
                  <pic:spPr>
                    <a:xfrm>
                      <a:off x="0" y="0"/>
                      <a:ext cx="2572385" cy="1464310"/>
                    </a:xfrm>
                    <a:prstGeom prst="rect">
                      <a:avLst/>
                    </a:prstGeom>
                    <a:noFill/>
                    <a:ln w="9525">
                      <a:noFill/>
                      <a:miter lim="800000"/>
                      <a:headEnd/>
                      <a:tailEnd/>
                    </a:ln>
                  </pic:spPr>
                </pic:pic>
              </a:graphicData>
            </a:graphic>
          </wp:inline>
        </w:drawing>
      </w:r>
      <w:r>
        <w:rPr>
          <w:rFonts w:hint="eastAsia"/>
        </w:rPr>
        <w:t xml:space="preserve"> </w:t>
      </w:r>
      <w:r>
        <w:drawing>
          <wp:inline distT="0" distB="0" distL="0" distR="0">
            <wp:extent cx="2553970" cy="1450975"/>
            <wp:effectExtent l="0" t="0" r="17780" b="15875"/>
            <wp:docPr id="123" name="图片 3" descr="C:\Users\ADMINI~1\AppData\Local\Temp\WeChat Files\8c7eddae572005f83ddf8e94e30ba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 descr="C:\Users\ADMINI~1\AppData\Local\Temp\WeChat Files\8c7eddae572005f83ddf8e94e30ba53.jpg"/>
                    <pic:cNvPicPr>
                      <a:picLocks noChangeAspect="1" noChangeArrowheads="1"/>
                    </pic:cNvPicPr>
                  </pic:nvPicPr>
                  <pic:blipFill>
                    <a:blip r:embed="rId136" cstate="print"/>
                    <a:srcRect b="10361"/>
                    <a:stretch>
                      <a:fillRect/>
                    </a:stretch>
                  </pic:blipFill>
                  <pic:spPr>
                    <a:xfrm>
                      <a:off x="0" y="0"/>
                      <a:ext cx="2553970" cy="1450975"/>
                    </a:xfrm>
                    <a:prstGeom prst="rect">
                      <a:avLst/>
                    </a:prstGeom>
                    <a:noFill/>
                    <a:ln w="9525">
                      <a:noFill/>
                      <a:miter lim="800000"/>
                      <a:headEnd/>
                      <a:tailEnd/>
                    </a:ln>
                  </pic:spPr>
                </pic:pic>
              </a:graphicData>
            </a:graphic>
          </wp:inline>
        </w:drawing>
      </w:r>
    </w:p>
    <w:p>
      <w:pPr>
        <w:pStyle w:val="5"/>
        <w:keepNext/>
        <w:keepLines/>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仿宋_GB2312" w:hAnsi="Times New Roman" w:eastAsia="仿宋_GB2312" w:cs="Times New Roman"/>
          <w:b/>
          <w:bCs/>
          <w:kern w:val="2"/>
          <w:sz w:val="28"/>
          <w:szCs w:val="28"/>
          <w:lang w:val="en-US" w:eastAsia="zh-CN" w:bidi="ar-SA"/>
        </w:rPr>
      </w:pPr>
      <w:bookmarkStart w:id="161" w:name="_Toc10879"/>
      <w:bookmarkStart w:id="162" w:name="_Toc853"/>
      <w:r>
        <w:rPr>
          <w:rFonts w:hint="eastAsia" w:ascii="仿宋_GB2312" w:hAnsi="Times New Roman" w:eastAsia="仿宋_GB2312" w:cs="Times New Roman"/>
          <w:b/>
          <w:bCs/>
          <w:kern w:val="2"/>
          <w:sz w:val="28"/>
          <w:szCs w:val="28"/>
          <w:lang w:val="en-US" w:eastAsia="zh-CN" w:bidi="ar-SA"/>
        </w:rPr>
        <w:t>5.4.3.帮扶成效显著</w:t>
      </w:r>
      <w:bookmarkEnd w:id="161"/>
      <w:bookmarkEnd w:id="162"/>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1、在抓发展，推进富民强村方面</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驻村以来，驻村工作队边学习边工作，内部认真学习了《驻村干部必读》手册和《中华人民共和国乡村振兴促进法》等书籍。和村两委一起始终把发展作为第一要务，坚持不懈抓好富民强村各项工作，更好满足群众对美好生活的新期待。</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美化乡村，提升村民卫生意识，引导村民垃圾集中放置、统一清理；提高村民身体素质，组织村民积极参加健身活动。我们和村两委一起多次召开村民代表大会商讨，全村上下达成共识，对我村进行建设改造。该项目计划对村基础设施进行建设，其中村南三岔口通往空中草原处，建设旅游接待中心，包括停车场、公厕等建设；三岔口到村道路两侧绿化；修建伊家店通往河北蔚县的出境道路；残垣断壁整治工程；安装照明路灯工程；街巷硬化工程；铺设污水处理地下管道；建设垃圾转运站1个。该项目实施后，可改善伊家店村生活环境，提高群众的生活质量，为本地区的经济发展创造良好环境，最终实现生产发展、生活宽裕、村容整洁、乡风文明、管理民主的社会主义新农村。</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2、在抓服务，凝聚民心民意方面</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把服务群众作为一切工作的出发点和落脚点，紧紧围绕保障和改善民生，推动落实好党的各项惠民政策。在“我为群众为实事”活动中，按照切口小、发力准、效果好的标准，着力解决群众的急难愁盼事项，不断增强群众的获得感幸福感安全感。驻村以来，在做好上级交办的各项工作基础上，驻村工作队重点深入群众家中了解他们的家庭生产、生活情况，向他们详细讲解党的各项政策，把群众合理的诉求记录下来，并向上级相关组织反映、协调。同时，积极参与我村两委入户宣传防疫疫苗注射组织工作、协助相关部门进行农村房屋不动产登记工作、农村补充养老保险缴纳等，为广大村民尽全力做好服务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同时，学校进一步扩大对帮扶贫困户的招生优惠政策，凡是有贫困户证明的学生来校训练，学校实现训练免费、住宿免费、吃饭免费等一系列免费政策。</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3、在抓治理，促进和谐文明方面</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 xml:space="preserve">为不断强化社区治安防控体系建设，维护我村安全稳定工作，近日，我村党总支组织以网格员为主体，全方位开展安全隐患排查、矛盾纠纷化解、普法宣传、特殊群体回访等专项整治行动，切实为我村居民营造秩序良好、和谐稳定的社会环境。并进行拉网式摸排细查、立查立改，确保排查整治不留死角、不漏一处，排查各类安全隐患，还向村民发放安全防范手册等宣传材料，切实提高村民安全防范意识。化解纠纷保稳定，通过走访入户、谈心聊家常，精准掌握各类潜在矛盾隐患，切实维护了我村和谐稳定。暖心回访促和谐，通过与村民交谈，全面了解其生活状况及思想状态，帮助解决相关困难及思想困惑；同时有针对性地开展普法宣传教育，引导村民在任何时候都要依法办事，以理性、合法的形式表达利益诉求，切实从源头上消除不稳定因素。通过此次防风险、查隐患、保安全专项整治行动，不断强化了我村治理工作，营造了安全稳定的社会环境。  </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4、在抓党建，建强战斗堡垒方面</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号召全村党员认真学习党的十九大精神和习近平新时代中国特色社会主义思想，自觉撰写党建工作心得体会，深入宣讲党的大政方针。牢固树立“抓好党建是本职、不抓党建是失职、抓不好党建就是不称职”的理念，组织召开党委会议，学习传达党建工作重要精神，充分发挥驻村干部的核心作用。深化理论武装，统一思想聚力量。始终将党史学习教育作为一项重大政治任务，尽好责、抓到位、见实效。一是强化组织引领。印发学习教育方案，召开动员大会，对本支部进行全覆盖的指导，从严从实抓好学习教育。二是丰富学习内容。坚持落实“三会一课”、主题党日等制度，确保基层党组织生活规范化、常态化。</w:t>
      </w:r>
      <w:bookmarkStart w:id="163" w:name="_Toc_1_3_0000000037"/>
      <w:bookmarkStart w:id="164" w:name="_Toc7917"/>
    </w:p>
    <w:p>
      <w:pPr>
        <w:keepNext w:val="0"/>
        <w:keepLines w:val="0"/>
        <w:pageBreakBefore w:val="0"/>
        <w:widowControl w:val="0"/>
        <w:numPr>
          <w:ilvl w:val="0"/>
          <w:numId w:val="1"/>
        </w:numPr>
        <w:kinsoku/>
        <w:wordWrap/>
        <w:overflowPunct/>
        <w:topLinePunct w:val="0"/>
        <w:autoSpaceDE/>
        <w:autoSpaceDN/>
        <w:bidi w:val="0"/>
        <w:adjustRightInd/>
        <w:snapToGrid/>
        <w:ind w:firstLine="562" w:firstLineChars="200"/>
        <w:textAlignment w:val="auto"/>
        <w:outlineLvl w:val="0"/>
        <w:rPr>
          <w:rFonts w:hint="eastAsia" w:ascii="仿宋_GB2312" w:hAnsi="Times New Roman" w:eastAsia="仿宋_GB2312" w:cs="Times New Roman"/>
          <w:b/>
          <w:bCs/>
          <w:kern w:val="2"/>
          <w:sz w:val="28"/>
          <w:szCs w:val="28"/>
          <w:lang w:val="en-US" w:eastAsia="zh-CN" w:bidi="ar-SA"/>
        </w:rPr>
      </w:pPr>
      <w:bookmarkStart w:id="165" w:name="_Toc91"/>
      <w:r>
        <w:rPr>
          <w:rFonts w:hint="eastAsia" w:ascii="仿宋_GB2312" w:hAnsi="Times New Roman" w:eastAsia="仿宋_GB2312" w:cs="Times New Roman"/>
          <w:b/>
          <w:bCs/>
          <w:kern w:val="2"/>
          <w:sz w:val="28"/>
          <w:szCs w:val="28"/>
          <w:lang w:val="en-US" w:eastAsia="uk-UA" w:bidi="ar-SA"/>
        </w:rPr>
        <w:t>特色创新</w:t>
      </w:r>
      <w:bookmarkEnd w:id="163"/>
      <w:bookmarkEnd w:id="165"/>
      <w:r>
        <w:rPr>
          <w:rFonts w:hint="eastAsia" w:ascii="仿宋_GB2312" w:hAnsi="Times New Roman" w:eastAsia="仿宋_GB2312" w:cs="Times New Roman"/>
          <w:b/>
          <w:bCs/>
          <w:kern w:val="2"/>
          <w:sz w:val="28"/>
          <w:szCs w:val="28"/>
          <w:lang w:val="en-US" w:eastAsia="zh-CN" w:bidi="ar-SA"/>
        </w:rPr>
        <w:t xml:space="preserve"> </w:t>
      </w:r>
      <w:bookmarkEnd w:id="164"/>
      <w:bookmarkStart w:id="166" w:name="_Toc9778"/>
    </w:p>
    <w:p>
      <w:pPr>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outlineLvl w:val="9"/>
        <w:rPr>
          <w:rFonts w:hint="eastAsia" w:ascii="仿宋_GB2312" w:hAnsi="Times New Roman" w:eastAsia="仿宋_GB2312" w:cs="Times New Roman"/>
          <w:b/>
          <w:bCs/>
          <w:kern w:val="2"/>
          <w:sz w:val="28"/>
          <w:szCs w:val="28"/>
          <w:lang w:val="en-US" w:eastAsia="zh-CN" w:bidi="ar-SA"/>
        </w:rPr>
      </w:pPr>
      <w:r>
        <w:rPr>
          <w:rFonts w:hint="eastAsia" w:ascii="仿宋_GB2312" w:hAnsi="Times New Roman" w:eastAsia="仿宋_GB2312" w:cs="Times New Roman"/>
          <w:b/>
          <w:bCs/>
          <w:kern w:val="2"/>
          <w:sz w:val="28"/>
          <w:szCs w:val="28"/>
          <w:lang w:val="en-US" w:eastAsia="zh-CN" w:bidi="ar-SA"/>
        </w:rPr>
        <w:t>【</w:t>
      </w:r>
      <w:r>
        <w:rPr>
          <w:rFonts w:hint="eastAsia" w:ascii="仿宋_GB2312" w:hAnsi="Times New Roman" w:eastAsia="仿宋_GB2312" w:cs="Times New Roman"/>
          <w:b/>
          <w:bCs/>
          <w:kern w:val="2"/>
          <w:sz w:val="28"/>
          <w:szCs w:val="28"/>
          <w:lang w:val="en-US" w:eastAsia="uk-UA" w:bidi="ar-SA"/>
        </w:rPr>
        <w:t>案例</w:t>
      </w:r>
      <w:r>
        <w:rPr>
          <w:rFonts w:hint="eastAsia" w:ascii="仿宋_GB2312" w:hAnsi="Times New Roman" w:eastAsia="仿宋_GB2312" w:cs="Times New Roman"/>
          <w:b/>
          <w:bCs/>
          <w:kern w:val="2"/>
          <w:sz w:val="28"/>
          <w:szCs w:val="28"/>
          <w:lang w:val="en-US" w:eastAsia="zh-CN" w:bidi="ar-SA"/>
        </w:rPr>
        <w:t>】 深化体教融合，开展体育下学校，加强青少年体育竞技人才培养项目</w:t>
      </w:r>
      <w:bookmarkEnd w:id="166"/>
      <w:bookmarkStart w:id="167" w:name="_Toc4140"/>
    </w:p>
    <w:p>
      <w:pPr>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outlineLvl w:val="1"/>
        <w:rPr>
          <w:rFonts w:hint="eastAsia" w:ascii="仿宋_GB2312" w:hAnsi="Times New Roman" w:eastAsia="仿宋_GB2312" w:cs="Times New Roman"/>
          <w:b/>
          <w:bCs/>
          <w:kern w:val="2"/>
          <w:sz w:val="28"/>
          <w:szCs w:val="28"/>
          <w:lang w:val="en-US" w:eastAsia="uk-UA" w:bidi="ar-SA"/>
        </w:rPr>
      </w:pPr>
      <w:bookmarkStart w:id="168" w:name="_Toc28249"/>
      <w:r>
        <w:rPr>
          <w:rFonts w:hint="eastAsia" w:ascii="仿宋_GB2312" w:hAnsi="Times New Roman" w:eastAsia="仿宋_GB2312" w:cs="Times New Roman"/>
          <w:b/>
          <w:bCs/>
          <w:kern w:val="2"/>
          <w:sz w:val="28"/>
          <w:szCs w:val="28"/>
          <w:lang w:val="en-US" w:eastAsia="zh-CN" w:bidi="ar-SA"/>
        </w:rPr>
        <w:t>6</w:t>
      </w:r>
      <w:r>
        <w:rPr>
          <w:rFonts w:hint="eastAsia" w:ascii="仿宋_GB2312" w:hAnsi="Times New Roman" w:eastAsia="仿宋_GB2312" w:cs="Times New Roman"/>
          <w:b/>
          <w:bCs/>
          <w:kern w:val="2"/>
          <w:sz w:val="28"/>
          <w:szCs w:val="28"/>
          <w:lang w:val="en-US" w:eastAsia="uk-UA" w:bidi="ar-SA"/>
        </w:rPr>
        <w:t>.1实施背景</w:t>
      </w:r>
      <w:bookmarkEnd w:id="167"/>
      <w:bookmarkEnd w:id="168"/>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2020年4月27日，中央全面深化改革委员会第13次会议审议通过了《关于深化体教融合，促进青少年健康发展的意见》，未来将会进一步加快体育教育融合发展的力度，解决青少年健康问题，树立健康第一的教育理念，这将是新时代教育发展的方向，是教育深化改革的方向，是国家发展民族复兴的需要。</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仿宋" w:hAnsi="仿宋" w:eastAsia="仿宋" w:cs="仿宋"/>
          <w:b/>
          <w:bCs/>
          <w:sz w:val="28"/>
          <w:szCs w:val="28"/>
        </w:rPr>
      </w:pPr>
      <w:r>
        <w:rPr>
          <w:rFonts w:hint="eastAsia" w:ascii="仿宋_GB2312" w:hAnsi="Times New Roman" w:eastAsia="仿宋_GB2312" w:cs="Times New Roman"/>
          <w:b w:val="0"/>
          <w:bCs w:val="0"/>
          <w:kern w:val="2"/>
          <w:sz w:val="28"/>
          <w:szCs w:val="28"/>
          <w:lang w:val="en-US" w:eastAsia="zh-CN" w:bidi="ar-SA"/>
        </w:rPr>
        <w:t>为此，大同市教育局、大同市体育局为深入贯彻中央深改委《关于深化体教融合，促进青少年健康发展的意见》文件精神，特制定出《关于贯彻中央全面深化改革委员会审议通过&lt;关于深化体教融合，促进青少年健康发展的意见&gt;的通知》（同体局〔2020〕45号）文件，为了学生身心健康，加强学校体育工作，完善青少年体育赛事体系，提出了大同市体教融合的具体实施意见。</w:t>
      </w:r>
    </w:p>
    <w:p>
      <w:pPr>
        <w:pStyle w:val="4"/>
        <w:keepNext/>
        <w:keepLines/>
        <w:pageBreakBefore w:val="0"/>
        <w:widowControl w:val="0"/>
        <w:kinsoku/>
        <w:wordWrap/>
        <w:overflowPunct/>
        <w:topLinePunct w:val="0"/>
        <w:autoSpaceDE/>
        <w:autoSpaceDN/>
        <w:bidi w:val="0"/>
        <w:adjustRightInd/>
        <w:snapToGrid/>
        <w:spacing w:line="240" w:lineRule="auto"/>
        <w:ind w:firstLine="562" w:firstLineChars="200"/>
        <w:textAlignment w:val="auto"/>
        <w:outlineLvl w:val="1"/>
        <w:rPr>
          <w:rFonts w:hint="eastAsia" w:ascii="仿宋_GB2312" w:hAnsi="Times New Roman" w:eastAsia="仿宋_GB2312" w:cs="Times New Roman"/>
          <w:b/>
          <w:bCs/>
          <w:kern w:val="2"/>
          <w:sz w:val="28"/>
          <w:szCs w:val="28"/>
          <w:lang w:val="en-US" w:eastAsia="uk-UA" w:bidi="ar-SA"/>
        </w:rPr>
      </w:pPr>
      <w:bookmarkStart w:id="169" w:name="_Toc24989"/>
      <w:bookmarkStart w:id="170" w:name="_Toc2702"/>
      <w:r>
        <w:rPr>
          <w:rFonts w:hint="eastAsia" w:ascii="仿宋_GB2312" w:hAnsi="Times New Roman" w:eastAsia="仿宋_GB2312" w:cs="Times New Roman"/>
          <w:b/>
          <w:bCs/>
          <w:kern w:val="2"/>
          <w:sz w:val="28"/>
          <w:szCs w:val="28"/>
          <w:lang w:val="en-US" w:eastAsia="zh-CN" w:bidi="ar-SA"/>
        </w:rPr>
        <w:t>6</w:t>
      </w:r>
      <w:r>
        <w:rPr>
          <w:rFonts w:hint="eastAsia" w:ascii="仿宋_GB2312" w:hAnsi="Times New Roman" w:eastAsia="仿宋_GB2312" w:cs="Times New Roman"/>
          <w:b/>
          <w:bCs/>
          <w:kern w:val="2"/>
          <w:sz w:val="28"/>
          <w:szCs w:val="28"/>
          <w:lang w:val="en-US" w:eastAsia="uk-UA" w:bidi="ar-SA"/>
        </w:rPr>
        <w:t>.2主要目标</w:t>
      </w:r>
      <w:bookmarkEnd w:id="169"/>
      <w:bookmarkEnd w:id="170"/>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1、利用我校体育专业优势，通过对口帮扶、项目推广、体育下学校等方式，帮扶我市各中小学校组织开展青少年体育活动，使青少年享有平等参与体育活动的机会，并解决中小学校体育教师的短缺情况；</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2、市直和各县区中、小学是培养竞技体育人才的基础阵地，优秀体育后备人才的摇篮。发现有体育特长的苗子和对体育感兴趣的学生，要及时输送给大同市体育运动学校等训练单位，进行专业训练培养，造就可塑人才；</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3、大同市体育运动学校足球队与大同三中、平城区14校引进足球人才就读，体教深度融合。</w:t>
      </w:r>
    </w:p>
    <w:p>
      <w:pPr>
        <w:pStyle w:val="4"/>
        <w:keepNext/>
        <w:keepLines/>
        <w:pageBreakBefore w:val="0"/>
        <w:widowControl w:val="0"/>
        <w:kinsoku/>
        <w:wordWrap/>
        <w:overflowPunct/>
        <w:topLinePunct w:val="0"/>
        <w:autoSpaceDE/>
        <w:autoSpaceDN/>
        <w:bidi w:val="0"/>
        <w:adjustRightInd/>
        <w:snapToGrid/>
        <w:spacing w:line="240" w:lineRule="auto"/>
        <w:ind w:firstLine="562" w:firstLineChars="200"/>
        <w:textAlignment w:val="auto"/>
        <w:outlineLvl w:val="1"/>
        <w:rPr>
          <w:rFonts w:hint="eastAsia" w:ascii="仿宋_GB2312" w:hAnsi="Times New Roman" w:eastAsia="仿宋_GB2312" w:cs="Times New Roman"/>
          <w:b/>
          <w:bCs/>
          <w:kern w:val="2"/>
          <w:sz w:val="28"/>
          <w:szCs w:val="28"/>
          <w:lang w:val="en-US" w:eastAsia="uk-UA" w:bidi="ar-SA"/>
        </w:rPr>
      </w:pPr>
      <w:bookmarkStart w:id="171" w:name="_Toc19142"/>
      <w:bookmarkStart w:id="172" w:name="_Toc2916"/>
      <w:r>
        <w:rPr>
          <w:rFonts w:hint="eastAsia" w:ascii="仿宋_GB2312" w:hAnsi="Times New Roman" w:eastAsia="仿宋_GB2312" w:cs="Times New Roman"/>
          <w:b/>
          <w:bCs/>
          <w:kern w:val="2"/>
          <w:sz w:val="28"/>
          <w:szCs w:val="28"/>
          <w:lang w:val="en-US" w:eastAsia="zh-CN" w:bidi="ar-SA"/>
        </w:rPr>
        <w:t>6</w:t>
      </w:r>
      <w:r>
        <w:rPr>
          <w:rFonts w:hint="eastAsia" w:ascii="仿宋_GB2312" w:hAnsi="Times New Roman" w:eastAsia="仿宋_GB2312" w:cs="Times New Roman"/>
          <w:b/>
          <w:bCs/>
          <w:kern w:val="2"/>
          <w:sz w:val="28"/>
          <w:szCs w:val="28"/>
          <w:lang w:val="en-US" w:eastAsia="uk-UA" w:bidi="ar-SA"/>
        </w:rPr>
        <w:t>.3实施过程</w:t>
      </w:r>
      <w:bookmarkEnd w:id="171"/>
      <w:bookmarkEnd w:id="172"/>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1、我校积极支持配合相关中小学校做好学校体育工作，在丰富体育教学内容，提高体育教学质量，搞好学校课间体育活动等方面提供技术及人员支持。</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2、与大同市三中签订合作协议，共同组建男子足球队U13、U15、U17三支队伍，利用三中优质的教育资源进行文化课教学，我校派出足球教练进行专业课训练。</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3、由我校负责招生选材，根据足球项目特点，完成精尖运动员的选拔工作。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4、由我校训练部门定期检查教练的课、周、阶段、年度训练计</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划等工作，根据全省比赛情况，学校组织项目专家、领队、教练员进行讨论并总结比赛经验和存在的不足。相关科研部门深入到日常训练工作中，做好重点队员的监控和跟踪工作，辅助运动队合理掌控运动量、强度的负荷。</w:t>
      </w:r>
    </w:p>
    <w:p>
      <w:pPr>
        <w:keepNext w:val="0"/>
        <w:keepLines w:val="0"/>
        <w:pageBreakBefore w:val="0"/>
        <w:widowControl w:val="0"/>
        <w:kinsoku/>
        <w:wordWrap/>
        <w:overflowPunct/>
        <w:topLinePunct w:val="0"/>
        <w:autoSpaceDE/>
        <w:autoSpaceDN/>
        <w:bidi w:val="0"/>
        <w:adjustRightInd/>
        <w:snapToGrid/>
        <w:ind w:firstLine="560" w:firstLineChars="200"/>
        <w:textAlignment w:val="auto"/>
      </w:pPr>
      <w:r>
        <w:rPr>
          <w:rFonts w:hint="eastAsia" w:ascii="仿宋_GB2312" w:hAnsi="Times New Roman" w:eastAsia="仿宋_GB2312" w:cs="Times New Roman"/>
          <w:b w:val="0"/>
          <w:bCs w:val="0"/>
          <w:kern w:val="2"/>
          <w:sz w:val="28"/>
          <w:szCs w:val="28"/>
          <w:lang w:val="en-US" w:eastAsia="zh-CN" w:bidi="ar-SA"/>
        </w:rPr>
        <w:t>5、我校加大经费投入，完善各项目训练器材，做好定期检查和及时更换；规划各运动队全年训练情况，做好定期外训、比赛等经费计划，备战省十六届、三青会、全运会达到最佳竞技水平奠定坚实基础。</w:t>
      </w:r>
    </w:p>
    <w:p>
      <w:pPr>
        <w:pStyle w:val="2"/>
        <w:ind w:left="0" w:leftChars="0"/>
        <w:outlineLvl w:val="1"/>
        <w:rPr>
          <w:rFonts w:hint="eastAsia" w:ascii="仿宋_GB2312" w:hAnsi="Times New Roman" w:eastAsia="仿宋_GB2312" w:cs="Times New Roman"/>
          <w:b/>
          <w:bCs/>
          <w:kern w:val="2"/>
          <w:sz w:val="28"/>
          <w:szCs w:val="28"/>
          <w:lang w:val="en-US" w:eastAsia="uk-UA" w:bidi="ar-SA"/>
        </w:rPr>
      </w:pPr>
      <w:r>
        <w:rPr>
          <w:rFonts w:hint="eastAsia" w:ascii="仿宋" w:hAnsi="仿宋" w:eastAsia="仿宋" w:cs="仿宋"/>
          <w:b/>
          <w:bCs/>
          <w:kern w:val="0"/>
          <w:sz w:val="28"/>
          <w:szCs w:val="28"/>
        </w:rPr>
        <w:t xml:space="preserve">    </w:t>
      </w:r>
      <w:bookmarkStart w:id="173" w:name="_Toc5728"/>
      <w:r>
        <w:rPr>
          <w:rFonts w:hint="eastAsia" w:ascii="仿宋_GB2312" w:hAnsi="Times New Roman" w:eastAsia="仿宋_GB2312" w:cs="Times New Roman"/>
          <w:b/>
          <w:bCs/>
          <w:kern w:val="2"/>
          <w:sz w:val="28"/>
          <w:szCs w:val="28"/>
          <w:lang w:val="en-US" w:eastAsia="zh-CN" w:bidi="ar-SA"/>
        </w:rPr>
        <w:t>6</w:t>
      </w:r>
      <w:r>
        <w:rPr>
          <w:rFonts w:hint="eastAsia" w:ascii="仿宋_GB2312" w:hAnsi="Times New Roman" w:eastAsia="仿宋_GB2312" w:cs="Times New Roman"/>
          <w:b/>
          <w:bCs/>
          <w:kern w:val="2"/>
          <w:sz w:val="28"/>
          <w:szCs w:val="28"/>
          <w:lang w:val="en-US" w:eastAsia="uk-UA" w:bidi="ar-SA"/>
        </w:rPr>
        <w:t>.4竞赛成绩显著，社会效应好</w:t>
      </w:r>
      <w:bookmarkEnd w:id="173"/>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1、竞赛成绩优异</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近年来我校足球项目的迅速发展，自2019年获得全国第二届青运会五人制和U16十一制双冠后，在2021年山西省第十六届运动会锦标赛中连续蝉联甲乙组的榜首，受到部分职业球队的一致好评，并与广州城足球俱乐部共建北方青少年足球训练基地。</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2、社会效应好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开创了“体教融合”取得丰硕成果的先河，足球运动员的运动、文化“双高”，得到了家长、社会各界的广泛赞许</w:t>
      </w:r>
      <w:bookmarkStart w:id="174" w:name="_Toc11807"/>
      <w:r>
        <w:rPr>
          <w:rFonts w:hint="eastAsia" w:ascii="仿宋_GB2312" w:hAnsi="Times New Roman" w:eastAsia="仿宋_GB2312" w:cs="Times New Roman"/>
          <w:b w:val="0"/>
          <w:bCs w:val="0"/>
          <w:kern w:val="2"/>
          <w:sz w:val="28"/>
          <w:szCs w:val="28"/>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outlineLvl w:val="0"/>
        <w:rPr>
          <w:rFonts w:hint="eastAsia" w:ascii="仿宋_GB2312" w:hAnsi="Times New Roman" w:eastAsia="仿宋_GB2312" w:cs="Times New Roman"/>
          <w:b/>
          <w:bCs/>
          <w:kern w:val="2"/>
          <w:sz w:val="28"/>
          <w:szCs w:val="28"/>
          <w:lang w:val="en-US" w:eastAsia="uk-UA" w:bidi="ar-SA"/>
        </w:rPr>
      </w:pPr>
      <w:bookmarkStart w:id="175" w:name="_Toc28287"/>
      <w:r>
        <w:rPr>
          <w:rFonts w:hint="eastAsia" w:ascii="仿宋_GB2312" w:hAnsi="Times New Roman" w:eastAsia="仿宋_GB2312" w:cs="Times New Roman"/>
          <w:b/>
          <w:bCs/>
          <w:kern w:val="2"/>
          <w:sz w:val="28"/>
          <w:szCs w:val="28"/>
          <w:lang w:val="en-US" w:eastAsia="zh-CN" w:bidi="ar-SA"/>
        </w:rPr>
        <w:t>7.</w:t>
      </w:r>
      <w:r>
        <w:rPr>
          <w:rFonts w:hint="eastAsia" w:ascii="仿宋_GB2312" w:hAnsi="Times New Roman" w:eastAsia="仿宋_GB2312" w:cs="Times New Roman"/>
          <w:b/>
          <w:bCs/>
          <w:kern w:val="2"/>
          <w:sz w:val="28"/>
          <w:szCs w:val="28"/>
          <w:lang w:val="en-US" w:eastAsia="uk-UA" w:bidi="ar-SA"/>
        </w:rPr>
        <w:t>面临挑战</w:t>
      </w:r>
      <w:bookmarkEnd w:id="174"/>
      <w:bookmarkEnd w:id="175"/>
      <w:bookmarkStart w:id="176" w:name="_Toc13990"/>
    </w:p>
    <w:p>
      <w:pPr>
        <w:keepNext w:val="0"/>
        <w:keepLines w:val="0"/>
        <w:pageBreakBefore w:val="0"/>
        <w:widowControl w:val="0"/>
        <w:numPr>
          <w:ilvl w:val="0"/>
          <w:numId w:val="0"/>
        </w:numPr>
        <w:kinsoku/>
        <w:wordWrap/>
        <w:overflowPunct/>
        <w:topLinePunct w:val="0"/>
        <w:autoSpaceDE/>
        <w:autoSpaceDN/>
        <w:bidi w:val="0"/>
        <w:adjustRightInd/>
        <w:snapToGrid/>
        <w:ind w:firstLine="562" w:firstLineChars="200"/>
        <w:textAlignment w:val="auto"/>
        <w:outlineLvl w:val="1"/>
        <w:rPr>
          <w:rFonts w:hint="eastAsia" w:ascii="仿宋_GB2312" w:hAnsi="Times New Roman" w:eastAsia="仿宋_GB2312" w:cs="Times New Roman"/>
          <w:b/>
          <w:bCs/>
          <w:kern w:val="2"/>
          <w:sz w:val="28"/>
          <w:szCs w:val="28"/>
          <w:lang w:val="en-US" w:eastAsia="uk-UA" w:bidi="ar-SA"/>
        </w:rPr>
      </w:pPr>
      <w:bookmarkStart w:id="177" w:name="_Toc1228"/>
      <w:r>
        <w:rPr>
          <w:rFonts w:hint="eastAsia" w:ascii="仿宋_GB2312" w:hAnsi="Times New Roman" w:eastAsia="仿宋_GB2312" w:cs="Times New Roman"/>
          <w:b/>
          <w:bCs/>
          <w:kern w:val="2"/>
          <w:sz w:val="28"/>
          <w:szCs w:val="28"/>
          <w:lang w:val="en-US" w:eastAsia="zh-CN" w:bidi="ar-SA"/>
        </w:rPr>
        <w:t>7</w:t>
      </w:r>
      <w:r>
        <w:rPr>
          <w:rFonts w:hint="eastAsia" w:ascii="仿宋_GB2312" w:hAnsi="Times New Roman" w:eastAsia="仿宋_GB2312" w:cs="Times New Roman"/>
          <w:b/>
          <w:bCs/>
          <w:kern w:val="2"/>
          <w:sz w:val="28"/>
          <w:szCs w:val="28"/>
          <w:lang w:val="en-US" w:eastAsia="uk-UA" w:bidi="ar-SA"/>
        </w:rPr>
        <w:t>.1 发展机遇</w:t>
      </w:r>
      <w:bookmarkEnd w:id="176"/>
      <w:bookmarkEnd w:id="177"/>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以习近平新时代中国特色社会主义思想为指导，以“没有全民健康，就没有全面小康”为重要论断，认真贯彻落实习近平总书记视察山西重要讲话重要指示，按照省委“四为四高两同步”推动高品质生活要求，认真落实《山西省推进职业教育改革发展行动计划》围绕构建完善现代职业教育体系，提出要强化中职教育的基础性作用，稳步发展高层次职业教育，从构建更加完整的职业教育体系层面，来强化职业教育的类型特色，探索形成纵向贯通、横向融通、职普协调和融通、多元立交的人才培养体系，更好的增强适应性，提高人才培养的结构质量。深化教育模式改革，推进人才培养模式创新，走办学规模、结构、质量和效益协调发展之路，全面提高学校的办学实力、教学质量、管理水平和办学效益。立足大同发展，服务经济建设，为我市和国家培养和输送高水平竞技体育后备人才，为社会培养合格的体育人才。</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以服务“奥运争光计划”、“全民健身计划”和大同体育事业发展为己任，以专业内涵建设为核心、改善实践教学环境为载体，进一步提高人才培养质量，发挥行业办学优势，深化“校校合作”、“校队合作”运行机制，创新“校队联动、学训赛结合”的人才培养模式；围绕运动技能训练、职业技能训练和体育项目特色项目开发训练一体的课程体系；打造一支在职业道德、专业理论、教学能力、运动专项技能等多方面协调发展的专兼结合、高素质的“双师型”教学团队；建成建设理念新、装备水平高、共享程度高的校内实训室；以提高学生的综合素养、体育精神和职业态度为目标，全面提升德育基础设施建设水平；以信息化校园建设为载体，推进教学和管理规范化和现代化建设进程；进一步创新管理机制，完善管理制度，全面提升学校管理水平，将学校建成我省体育类中等职业示范学校，发挥学校在全国同类学校中的引领和辐射作用。</w:t>
      </w:r>
    </w:p>
    <w:p>
      <w:pPr>
        <w:pStyle w:val="4"/>
        <w:keepNext/>
        <w:pageBreakBefore w:val="0"/>
        <w:widowControl w:val="0"/>
        <w:kinsoku/>
        <w:wordWrap/>
        <w:overflowPunct/>
        <w:topLinePunct w:val="0"/>
        <w:autoSpaceDE/>
        <w:autoSpaceDN/>
        <w:bidi w:val="0"/>
        <w:adjustRightInd/>
        <w:snapToGrid/>
        <w:spacing w:line="240" w:lineRule="auto"/>
        <w:ind w:firstLine="562" w:firstLineChars="200"/>
        <w:textAlignment w:val="auto"/>
        <w:outlineLvl w:val="1"/>
        <w:rPr>
          <w:rFonts w:hint="eastAsia" w:ascii="仿宋_GB2312" w:hAnsi="Times New Roman" w:eastAsia="仿宋_GB2312" w:cs="Times New Roman"/>
          <w:b/>
          <w:bCs/>
          <w:kern w:val="2"/>
          <w:sz w:val="28"/>
          <w:szCs w:val="28"/>
          <w:lang w:val="en-US" w:eastAsia="uk-UA" w:bidi="ar-SA"/>
        </w:rPr>
      </w:pPr>
      <w:bookmarkStart w:id="178" w:name="_Toc14233"/>
      <w:bookmarkStart w:id="179" w:name="_Toc27034"/>
      <w:r>
        <w:rPr>
          <w:rFonts w:hint="eastAsia" w:ascii="仿宋_GB2312" w:hAnsi="Times New Roman" w:eastAsia="仿宋_GB2312" w:cs="Times New Roman"/>
          <w:b/>
          <w:bCs/>
          <w:kern w:val="2"/>
          <w:sz w:val="28"/>
          <w:szCs w:val="28"/>
          <w:lang w:val="en-US" w:eastAsia="zh-CN" w:bidi="ar-SA"/>
        </w:rPr>
        <w:t>7</w:t>
      </w:r>
      <w:r>
        <w:rPr>
          <w:rFonts w:hint="eastAsia" w:ascii="仿宋_GB2312" w:hAnsi="Times New Roman" w:eastAsia="仿宋_GB2312" w:cs="Times New Roman"/>
          <w:b/>
          <w:bCs/>
          <w:kern w:val="2"/>
          <w:sz w:val="28"/>
          <w:szCs w:val="28"/>
          <w:lang w:val="en-US" w:eastAsia="uk-UA" w:bidi="ar-SA"/>
        </w:rPr>
        <w:t>.2 面临挑战</w:t>
      </w:r>
      <w:bookmarkEnd w:id="178"/>
      <w:bookmarkEnd w:id="179"/>
    </w:p>
    <w:p>
      <w:pPr>
        <w:pStyle w:val="5"/>
        <w:keepNext/>
        <w:pageBreakBefore w:val="0"/>
        <w:widowControl w:val="0"/>
        <w:kinsoku/>
        <w:wordWrap/>
        <w:overflowPunct/>
        <w:topLinePunct w:val="0"/>
        <w:autoSpaceDE/>
        <w:autoSpaceDN/>
        <w:bidi w:val="0"/>
        <w:adjustRightInd/>
        <w:snapToGrid/>
        <w:spacing w:line="240" w:lineRule="auto"/>
        <w:ind w:firstLine="562" w:firstLineChars="200"/>
        <w:textAlignment w:val="auto"/>
        <w:outlineLvl w:val="2"/>
        <w:rPr>
          <w:rFonts w:hint="eastAsia" w:ascii="仿宋_GB2312" w:hAnsi="Times New Roman" w:eastAsia="仿宋_GB2312" w:cs="Times New Roman"/>
          <w:b/>
          <w:bCs/>
          <w:kern w:val="2"/>
          <w:sz w:val="28"/>
          <w:szCs w:val="28"/>
          <w:lang w:val="en-US" w:eastAsia="uk-UA" w:bidi="ar-SA"/>
        </w:rPr>
      </w:pPr>
      <w:bookmarkStart w:id="180" w:name="_Toc20245"/>
      <w:bookmarkStart w:id="181" w:name="_Toc2304"/>
      <w:r>
        <w:rPr>
          <w:rFonts w:hint="eastAsia" w:ascii="仿宋_GB2312" w:hAnsi="Times New Roman" w:eastAsia="仿宋_GB2312" w:cs="Times New Roman"/>
          <w:b/>
          <w:bCs/>
          <w:kern w:val="2"/>
          <w:sz w:val="28"/>
          <w:szCs w:val="28"/>
          <w:lang w:val="en-US" w:eastAsia="zh-CN" w:bidi="ar-SA"/>
        </w:rPr>
        <w:t>7</w:t>
      </w:r>
      <w:r>
        <w:rPr>
          <w:rFonts w:hint="eastAsia" w:ascii="仿宋_GB2312" w:hAnsi="Times New Roman" w:eastAsia="仿宋_GB2312" w:cs="Times New Roman"/>
          <w:b/>
          <w:bCs/>
          <w:kern w:val="2"/>
          <w:sz w:val="28"/>
          <w:szCs w:val="28"/>
          <w:lang w:val="en-US" w:eastAsia="uk-UA" w:bidi="ar-SA"/>
        </w:rPr>
        <w:t>.2.1主要问题</w:t>
      </w:r>
      <w:bookmarkEnd w:id="180"/>
      <w:bookmarkEnd w:id="181"/>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1、体育运动学校办学困难，现行教师待遇难以吸引优秀教师、留住优秀教师，造成学校师资力量较为薄弱，出现“重训轻学”现象。</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2、2020年我校人员编制从146名缩减至102名，现有人员配比与学校项目的设置已经存在较大差距，新增项目的同时又缩减编制更是无法满足体育事业的发展需要，而且外聘教练大多数已三年以上，如再不能进编，必然会造成专业人才的流失和成绩的下滑。</w:t>
      </w:r>
    </w:p>
    <w:p>
      <w:pPr>
        <w:pStyle w:val="5"/>
        <w:keepNext/>
        <w:pageBreakBefore w:val="0"/>
        <w:widowControl w:val="0"/>
        <w:kinsoku/>
        <w:wordWrap/>
        <w:overflowPunct/>
        <w:topLinePunct w:val="0"/>
        <w:autoSpaceDE/>
        <w:autoSpaceDN/>
        <w:bidi w:val="0"/>
        <w:adjustRightInd/>
        <w:snapToGrid/>
        <w:spacing w:line="240" w:lineRule="auto"/>
        <w:ind w:firstLine="562" w:firstLineChars="200"/>
        <w:textAlignment w:val="auto"/>
        <w:outlineLvl w:val="2"/>
        <w:rPr>
          <w:rFonts w:hint="eastAsia" w:ascii="仿宋_GB2312" w:hAnsi="Times New Roman" w:eastAsia="仿宋_GB2312" w:cs="Times New Roman"/>
          <w:b/>
          <w:bCs/>
          <w:kern w:val="2"/>
          <w:sz w:val="28"/>
          <w:szCs w:val="28"/>
          <w:lang w:val="en-US" w:eastAsia="uk-UA" w:bidi="ar-SA"/>
        </w:rPr>
      </w:pPr>
      <w:bookmarkStart w:id="182" w:name="_Toc13970"/>
      <w:bookmarkStart w:id="183" w:name="_Toc14287"/>
      <w:r>
        <w:rPr>
          <w:rFonts w:hint="eastAsia" w:ascii="仿宋_GB2312" w:hAnsi="Times New Roman" w:eastAsia="仿宋_GB2312" w:cs="Times New Roman"/>
          <w:b/>
          <w:bCs/>
          <w:kern w:val="2"/>
          <w:sz w:val="28"/>
          <w:szCs w:val="28"/>
          <w:lang w:val="en-US" w:eastAsia="zh-CN" w:bidi="ar-SA"/>
        </w:rPr>
        <w:t>7</w:t>
      </w:r>
      <w:r>
        <w:rPr>
          <w:rFonts w:hint="eastAsia" w:ascii="仿宋_GB2312" w:hAnsi="Times New Roman" w:eastAsia="仿宋_GB2312" w:cs="Times New Roman"/>
          <w:b/>
          <w:bCs/>
          <w:kern w:val="2"/>
          <w:sz w:val="28"/>
          <w:szCs w:val="28"/>
          <w:lang w:val="en-US" w:eastAsia="uk-UA" w:bidi="ar-SA"/>
        </w:rPr>
        <w:t>.2.2改进措施</w:t>
      </w:r>
      <w:bookmarkEnd w:id="182"/>
      <w:bookmarkEnd w:id="183"/>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1、努力提高教学质量，坚持读训并重，培养学生成为全面发展的高素质人才。</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2、能否考虑将中职院校的教师待遇与普通中小学教师待遇看齐，以吸引优秀教师加入，从而提高体育运动学校的教育教学水平。</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Times New Roman" w:eastAsia="仿宋_GB2312" w:cs="Times New Roman"/>
          <w:b w:val="0"/>
          <w:bCs w:val="0"/>
          <w:kern w:val="2"/>
          <w:sz w:val="28"/>
          <w:szCs w:val="28"/>
          <w:lang w:val="en-US" w:eastAsia="zh-CN" w:bidi="ar-SA"/>
        </w:rPr>
      </w:pPr>
      <w:r>
        <w:rPr>
          <w:rFonts w:hint="eastAsia" w:ascii="仿宋_GB2312" w:hAnsi="Times New Roman" w:eastAsia="仿宋_GB2312" w:cs="Times New Roman"/>
          <w:b w:val="0"/>
          <w:bCs w:val="0"/>
          <w:kern w:val="2"/>
          <w:sz w:val="28"/>
          <w:szCs w:val="28"/>
          <w:lang w:val="en-US" w:eastAsia="zh-CN" w:bidi="ar-SA"/>
        </w:rPr>
        <w:t>3、政府能否酌情考虑恢复我校原有编制，以免造成我校专业人才流失和竞赛成绩的下滑。</w:t>
      </w:r>
    </w:p>
    <w:p>
      <w:pPr>
        <w:rPr>
          <w:rFonts w:ascii="仿宋" w:hAnsi="仿宋" w:eastAsia="仿宋" w:cs="仿宋"/>
          <w:b/>
          <w:bCs/>
          <w:sz w:val="28"/>
          <w:szCs w:val="28"/>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132">
    <w:altName w:val="宋体"/>
    <w:panose1 w:val="00000000000000000000"/>
    <w:charset w:val="86"/>
    <w:family w:val="roman"/>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Sans Serif">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_x0000_s2050" o:spid="_x0000_s2050" o:spt="202" type="#_x0000_t202" style="position:absolute;left:0pt;margin-top:0pt;height:11pt;width:9.15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9"/>
                  <w:rPr>
                    <w:rFonts w:eastAsia="宋体"/>
                  </w:rPr>
                </w:pPr>
                <w:r>
                  <w:fldChar w:fldCharType="begin"/>
                </w:r>
                <w:r>
                  <w:instrText xml:space="preserve"> PAGE  \* MERGEFORMAT </w:instrText>
                </w:r>
                <w:r>
                  <w:fldChar w:fldCharType="separate"/>
                </w:r>
                <w:r>
                  <w:t>3</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E709DD9"/>
    <w:multiLevelType w:val="singleLevel"/>
    <w:tmpl w:val="4E709DD9"/>
    <w:lvl w:ilvl="0" w:tentative="0">
      <w:start w:val="6"/>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DD6573"/>
    <w:rsid w:val="0001458A"/>
    <w:rsid w:val="00015258"/>
    <w:rsid w:val="000164E3"/>
    <w:rsid w:val="000204C7"/>
    <w:rsid w:val="0002354A"/>
    <w:rsid w:val="000271B7"/>
    <w:rsid w:val="0004155A"/>
    <w:rsid w:val="0004203B"/>
    <w:rsid w:val="00057339"/>
    <w:rsid w:val="00057876"/>
    <w:rsid w:val="00057C72"/>
    <w:rsid w:val="0006072B"/>
    <w:rsid w:val="000607AE"/>
    <w:rsid w:val="000746A4"/>
    <w:rsid w:val="00074946"/>
    <w:rsid w:val="00077B19"/>
    <w:rsid w:val="0008021B"/>
    <w:rsid w:val="00081A20"/>
    <w:rsid w:val="00082013"/>
    <w:rsid w:val="000833A6"/>
    <w:rsid w:val="00091E72"/>
    <w:rsid w:val="0009564D"/>
    <w:rsid w:val="000963AA"/>
    <w:rsid w:val="00097258"/>
    <w:rsid w:val="000A3F98"/>
    <w:rsid w:val="000A504B"/>
    <w:rsid w:val="000A6447"/>
    <w:rsid w:val="000A644B"/>
    <w:rsid w:val="000B0740"/>
    <w:rsid w:val="000B0BCE"/>
    <w:rsid w:val="000C3066"/>
    <w:rsid w:val="000D2840"/>
    <w:rsid w:val="000E377F"/>
    <w:rsid w:val="000E43FE"/>
    <w:rsid w:val="000F07C8"/>
    <w:rsid w:val="000F3B6D"/>
    <w:rsid w:val="001045FC"/>
    <w:rsid w:val="0010666D"/>
    <w:rsid w:val="001170A8"/>
    <w:rsid w:val="001173B2"/>
    <w:rsid w:val="00121181"/>
    <w:rsid w:val="0012546F"/>
    <w:rsid w:val="001257CB"/>
    <w:rsid w:val="00126F1C"/>
    <w:rsid w:val="00127395"/>
    <w:rsid w:val="001276D0"/>
    <w:rsid w:val="00135CC4"/>
    <w:rsid w:val="001405D6"/>
    <w:rsid w:val="0015460C"/>
    <w:rsid w:val="00172A54"/>
    <w:rsid w:val="001802BE"/>
    <w:rsid w:val="0018125F"/>
    <w:rsid w:val="001813DA"/>
    <w:rsid w:val="0018242D"/>
    <w:rsid w:val="00192475"/>
    <w:rsid w:val="00192BD9"/>
    <w:rsid w:val="001954D4"/>
    <w:rsid w:val="001978F8"/>
    <w:rsid w:val="001A037E"/>
    <w:rsid w:val="001A2B83"/>
    <w:rsid w:val="001A555F"/>
    <w:rsid w:val="001A5640"/>
    <w:rsid w:val="001A5E40"/>
    <w:rsid w:val="001A6C6D"/>
    <w:rsid w:val="001C3620"/>
    <w:rsid w:val="001D271C"/>
    <w:rsid w:val="001E6240"/>
    <w:rsid w:val="001E628E"/>
    <w:rsid w:val="001E6834"/>
    <w:rsid w:val="001F1D6A"/>
    <w:rsid w:val="00206AE6"/>
    <w:rsid w:val="0021419F"/>
    <w:rsid w:val="00215EE8"/>
    <w:rsid w:val="00215F24"/>
    <w:rsid w:val="00215FA5"/>
    <w:rsid w:val="00220966"/>
    <w:rsid w:val="0022651E"/>
    <w:rsid w:val="00234F89"/>
    <w:rsid w:val="002355F6"/>
    <w:rsid w:val="0024154E"/>
    <w:rsid w:val="002444BE"/>
    <w:rsid w:val="00244CD0"/>
    <w:rsid w:val="00246BD6"/>
    <w:rsid w:val="002517E0"/>
    <w:rsid w:val="002537E7"/>
    <w:rsid w:val="00255F5D"/>
    <w:rsid w:val="00262542"/>
    <w:rsid w:val="00262962"/>
    <w:rsid w:val="00263B4F"/>
    <w:rsid w:val="00266BBF"/>
    <w:rsid w:val="00267CB4"/>
    <w:rsid w:val="00270047"/>
    <w:rsid w:val="00271B30"/>
    <w:rsid w:val="00272A53"/>
    <w:rsid w:val="00275178"/>
    <w:rsid w:val="0027643E"/>
    <w:rsid w:val="002772A4"/>
    <w:rsid w:val="00281172"/>
    <w:rsid w:val="00292EE4"/>
    <w:rsid w:val="002B0C49"/>
    <w:rsid w:val="002B1774"/>
    <w:rsid w:val="002B2992"/>
    <w:rsid w:val="002C2DF5"/>
    <w:rsid w:val="002C75A9"/>
    <w:rsid w:val="002D2A52"/>
    <w:rsid w:val="002D3C90"/>
    <w:rsid w:val="002D458E"/>
    <w:rsid w:val="002E0A94"/>
    <w:rsid w:val="002E6FDA"/>
    <w:rsid w:val="002F0BBB"/>
    <w:rsid w:val="002F1220"/>
    <w:rsid w:val="002F65F8"/>
    <w:rsid w:val="00303C4E"/>
    <w:rsid w:val="0032134E"/>
    <w:rsid w:val="00330D6B"/>
    <w:rsid w:val="00332339"/>
    <w:rsid w:val="003331CF"/>
    <w:rsid w:val="003348C3"/>
    <w:rsid w:val="003353DB"/>
    <w:rsid w:val="003407D9"/>
    <w:rsid w:val="00345786"/>
    <w:rsid w:val="00346832"/>
    <w:rsid w:val="00363673"/>
    <w:rsid w:val="00366C70"/>
    <w:rsid w:val="00367220"/>
    <w:rsid w:val="003704DA"/>
    <w:rsid w:val="00371451"/>
    <w:rsid w:val="00373C5E"/>
    <w:rsid w:val="00375676"/>
    <w:rsid w:val="00375ACD"/>
    <w:rsid w:val="00377D31"/>
    <w:rsid w:val="003920D0"/>
    <w:rsid w:val="003A2EDB"/>
    <w:rsid w:val="003A3E8F"/>
    <w:rsid w:val="003B08B0"/>
    <w:rsid w:val="003B1E7D"/>
    <w:rsid w:val="003B519B"/>
    <w:rsid w:val="003C0388"/>
    <w:rsid w:val="003C1EB2"/>
    <w:rsid w:val="003C2F51"/>
    <w:rsid w:val="003C6EDA"/>
    <w:rsid w:val="003D2AF7"/>
    <w:rsid w:val="003E65C5"/>
    <w:rsid w:val="003F1790"/>
    <w:rsid w:val="003F4B12"/>
    <w:rsid w:val="00403689"/>
    <w:rsid w:val="00404D73"/>
    <w:rsid w:val="00416A8B"/>
    <w:rsid w:val="00422854"/>
    <w:rsid w:val="00426B36"/>
    <w:rsid w:val="00432231"/>
    <w:rsid w:val="00437554"/>
    <w:rsid w:val="00441556"/>
    <w:rsid w:val="00442826"/>
    <w:rsid w:val="0044340C"/>
    <w:rsid w:val="00450160"/>
    <w:rsid w:val="00452DF2"/>
    <w:rsid w:val="0046202F"/>
    <w:rsid w:val="0047185B"/>
    <w:rsid w:val="00474F24"/>
    <w:rsid w:val="00476B17"/>
    <w:rsid w:val="004800F4"/>
    <w:rsid w:val="00482E6B"/>
    <w:rsid w:val="00482F5A"/>
    <w:rsid w:val="0048408C"/>
    <w:rsid w:val="0048468C"/>
    <w:rsid w:val="004A11C2"/>
    <w:rsid w:val="004A2DB8"/>
    <w:rsid w:val="004A7CE3"/>
    <w:rsid w:val="004B43ED"/>
    <w:rsid w:val="004B67F3"/>
    <w:rsid w:val="004C1470"/>
    <w:rsid w:val="004C7416"/>
    <w:rsid w:val="004D456A"/>
    <w:rsid w:val="004D511E"/>
    <w:rsid w:val="004E020E"/>
    <w:rsid w:val="004E35C1"/>
    <w:rsid w:val="004E670A"/>
    <w:rsid w:val="004F24A8"/>
    <w:rsid w:val="004F2B91"/>
    <w:rsid w:val="004F2FE9"/>
    <w:rsid w:val="004F5911"/>
    <w:rsid w:val="00501310"/>
    <w:rsid w:val="00502D3E"/>
    <w:rsid w:val="00506306"/>
    <w:rsid w:val="0051072E"/>
    <w:rsid w:val="005111FB"/>
    <w:rsid w:val="0052382A"/>
    <w:rsid w:val="005245FC"/>
    <w:rsid w:val="0052598D"/>
    <w:rsid w:val="00530792"/>
    <w:rsid w:val="00533DAE"/>
    <w:rsid w:val="005352CF"/>
    <w:rsid w:val="00542900"/>
    <w:rsid w:val="00550E1C"/>
    <w:rsid w:val="005603EB"/>
    <w:rsid w:val="005613E7"/>
    <w:rsid w:val="005700E2"/>
    <w:rsid w:val="005734A5"/>
    <w:rsid w:val="00582859"/>
    <w:rsid w:val="00584908"/>
    <w:rsid w:val="00591989"/>
    <w:rsid w:val="005A3809"/>
    <w:rsid w:val="005A385E"/>
    <w:rsid w:val="005B2B08"/>
    <w:rsid w:val="005B4782"/>
    <w:rsid w:val="005B75D4"/>
    <w:rsid w:val="005C1B00"/>
    <w:rsid w:val="005C5F67"/>
    <w:rsid w:val="005C6DEE"/>
    <w:rsid w:val="005D1515"/>
    <w:rsid w:val="005D5E2B"/>
    <w:rsid w:val="005E1415"/>
    <w:rsid w:val="006047CB"/>
    <w:rsid w:val="006128A7"/>
    <w:rsid w:val="006169A8"/>
    <w:rsid w:val="006200DE"/>
    <w:rsid w:val="00623729"/>
    <w:rsid w:val="00625585"/>
    <w:rsid w:val="00625EBF"/>
    <w:rsid w:val="006315F7"/>
    <w:rsid w:val="00633FDF"/>
    <w:rsid w:val="0063531A"/>
    <w:rsid w:val="0063665C"/>
    <w:rsid w:val="00640D9B"/>
    <w:rsid w:val="00646BD6"/>
    <w:rsid w:val="006532FB"/>
    <w:rsid w:val="00662E70"/>
    <w:rsid w:val="006709CC"/>
    <w:rsid w:val="00671293"/>
    <w:rsid w:val="00684683"/>
    <w:rsid w:val="00684ED9"/>
    <w:rsid w:val="00686E1B"/>
    <w:rsid w:val="006923FC"/>
    <w:rsid w:val="00694628"/>
    <w:rsid w:val="00695D93"/>
    <w:rsid w:val="006A6BED"/>
    <w:rsid w:val="006B0910"/>
    <w:rsid w:val="006B3A0F"/>
    <w:rsid w:val="006B46F3"/>
    <w:rsid w:val="006B7ABF"/>
    <w:rsid w:val="006D08A2"/>
    <w:rsid w:val="006D2342"/>
    <w:rsid w:val="006D490A"/>
    <w:rsid w:val="006D4CC7"/>
    <w:rsid w:val="006E13CA"/>
    <w:rsid w:val="006E2E3A"/>
    <w:rsid w:val="006F2CDA"/>
    <w:rsid w:val="00715589"/>
    <w:rsid w:val="0072036C"/>
    <w:rsid w:val="00720EF5"/>
    <w:rsid w:val="0072145D"/>
    <w:rsid w:val="00722FB6"/>
    <w:rsid w:val="00735988"/>
    <w:rsid w:val="00735FC3"/>
    <w:rsid w:val="00737FAF"/>
    <w:rsid w:val="00741FC8"/>
    <w:rsid w:val="007431AA"/>
    <w:rsid w:val="00745087"/>
    <w:rsid w:val="007515DB"/>
    <w:rsid w:val="00756DCC"/>
    <w:rsid w:val="00757FED"/>
    <w:rsid w:val="0076417F"/>
    <w:rsid w:val="007662C0"/>
    <w:rsid w:val="007736BB"/>
    <w:rsid w:val="007741BB"/>
    <w:rsid w:val="007753C7"/>
    <w:rsid w:val="007755FE"/>
    <w:rsid w:val="007762A1"/>
    <w:rsid w:val="0078414E"/>
    <w:rsid w:val="00784770"/>
    <w:rsid w:val="0079385D"/>
    <w:rsid w:val="00794464"/>
    <w:rsid w:val="007A0A24"/>
    <w:rsid w:val="007A38B6"/>
    <w:rsid w:val="007B6920"/>
    <w:rsid w:val="007D4AEA"/>
    <w:rsid w:val="007F0BFF"/>
    <w:rsid w:val="007F0C81"/>
    <w:rsid w:val="00803C47"/>
    <w:rsid w:val="00814254"/>
    <w:rsid w:val="008173EE"/>
    <w:rsid w:val="00831394"/>
    <w:rsid w:val="008316DE"/>
    <w:rsid w:val="00833ADF"/>
    <w:rsid w:val="0083526C"/>
    <w:rsid w:val="00835FE4"/>
    <w:rsid w:val="008368F5"/>
    <w:rsid w:val="00845354"/>
    <w:rsid w:val="00846B9A"/>
    <w:rsid w:val="00847094"/>
    <w:rsid w:val="00847A6C"/>
    <w:rsid w:val="00847CB4"/>
    <w:rsid w:val="00853E1C"/>
    <w:rsid w:val="008650A1"/>
    <w:rsid w:val="00866C93"/>
    <w:rsid w:val="00871F93"/>
    <w:rsid w:val="00873517"/>
    <w:rsid w:val="00877B64"/>
    <w:rsid w:val="00882C6F"/>
    <w:rsid w:val="00890221"/>
    <w:rsid w:val="00890352"/>
    <w:rsid w:val="00893787"/>
    <w:rsid w:val="00897400"/>
    <w:rsid w:val="008A125C"/>
    <w:rsid w:val="008A1ADA"/>
    <w:rsid w:val="008A33C6"/>
    <w:rsid w:val="008A6F29"/>
    <w:rsid w:val="008B502F"/>
    <w:rsid w:val="008D0285"/>
    <w:rsid w:val="008D58FE"/>
    <w:rsid w:val="008D5A76"/>
    <w:rsid w:val="008E06C2"/>
    <w:rsid w:val="008E71DE"/>
    <w:rsid w:val="008F58F4"/>
    <w:rsid w:val="00902183"/>
    <w:rsid w:val="009120E4"/>
    <w:rsid w:val="009170E4"/>
    <w:rsid w:val="0092196D"/>
    <w:rsid w:val="00922BB9"/>
    <w:rsid w:val="00925D8C"/>
    <w:rsid w:val="00926E3B"/>
    <w:rsid w:val="009328B1"/>
    <w:rsid w:val="00933C14"/>
    <w:rsid w:val="009341E0"/>
    <w:rsid w:val="009359B4"/>
    <w:rsid w:val="00936479"/>
    <w:rsid w:val="00936B9D"/>
    <w:rsid w:val="00945999"/>
    <w:rsid w:val="009506A0"/>
    <w:rsid w:val="009525B5"/>
    <w:rsid w:val="0095626D"/>
    <w:rsid w:val="00960C72"/>
    <w:rsid w:val="009656B7"/>
    <w:rsid w:val="00965D81"/>
    <w:rsid w:val="00970DEC"/>
    <w:rsid w:val="009758A1"/>
    <w:rsid w:val="009868D0"/>
    <w:rsid w:val="00993584"/>
    <w:rsid w:val="00993C95"/>
    <w:rsid w:val="00997466"/>
    <w:rsid w:val="009A1668"/>
    <w:rsid w:val="009A47BC"/>
    <w:rsid w:val="009A634F"/>
    <w:rsid w:val="009A64D7"/>
    <w:rsid w:val="009B0668"/>
    <w:rsid w:val="009B70C9"/>
    <w:rsid w:val="009C023F"/>
    <w:rsid w:val="009C0E6F"/>
    <w:rsid w:val="009C0FEA"/>
    <w:rsid w:val="009C518D"/>
    <w:rsid w:val="009C74A4"/>
    <w:rsid w:val="009E0AF3"/>
    <w:rsid w:val="009E2E6F"/>
    <w:rsid w:val="009E37B5"/>
    <w:rsid w:val="009F2C0D"/>
    <w:rsid w:val="009F3BBF"/>
    <w:rsid w:val="00A02E1D"/>
    <w:rsid w:val="00A03535"/>
    <w:rsid w:val="00A04D68"/>
    <w:rsid w:val="00A076DF"/>
    <w:rsid w:val="00A11DBD"/>
    <w:rsid w:val="00A16983"/>
    <w:rsid w:val="00A16EA5"/>
    <w:rsid w:val="00A20CBF"/>
    <w:rsid w:val="00A221B2"/>
    <w:rsid w:val="00A245C3"/>
    <w:rsid w:val="00A24ADE"/>
    <w:rsid w:val="00A26ED6"/>
    <w:rsid w:val="00A50D79"/>
    <w:rsid w:val="00A635A3"/>
    <w:rsid w:val="00A641C3"/>
    <w:rsid w:val="00A66646"/>
    <w:rsid w:val="00A702BD"/>
    <w:rsid w:val="00A71B67"/>
    <w:rsid w:val="00A73B22"/>
    <w:rsid w:val="00A83858"/>
    <w:rsid w:val="00A86A1B"/>
    <w:rsid w:val="00A93B1F"/>
    <w:rsid w:val="00A93CBF"/>
    <w:rsid w:val="00A94E01"/>
    <w:rsid w:val="00A96E10"/>
    <w:rsid w:val="00AA264D"/>
    <w:rsid w:val="00AA2984"/>
    <w:rsid w:val="00AA69B8"/>
    <w:rsid w:val="00AC1315"/>
    <w:rsid w:val="00AC3A3F"/>
    <w:rsid w:val="00AC4468"/>
    <w:rsid w:val="00AC4749"/>
    <w:rsid w:val="00AC7D16"/>
    <w:rsid w:val="00AD1AC1"/>
    <w:rsid w:val="00AD439F"/>
    <w:rsid w:val="00AE08FC"/>
    <w:rsid w:val="00AE1753"/>
    <w:rsid w:val="00AE1DD5"/>
    <w:rsid w:val="00AE2D31"/>
    <w:rsid w:val="00AE4754"/>
    <w:rsid w:val="00AF071B"/>
    <w:rsid w:val="00AF09F5"/>
    <w:rsid w:val="00AF0ADC"/>
    <w:rsid w:val="00AF1991"/>
    <w:rsid w:val="00AF69E7"/>
    <w:rsid w:val="00AF6CC8"/>
    <w:rsid w:val="00B01E33"/>
    <w:rsid w:val="00B059D5"/>
    <w:rsid w:val="00B11063"/>
    <w:rsid w:val="00B2581C"/>
    <w:rsid w:val="00B263E9"/>
    <w:rsid w:val="00B26B8E"/>
    <w:rsid w:val="00B309AD"/>
    <w:rsid w:val="00B339BB"/>
    <w:rsid w:val="00B34AB0"/>
    <w:rsid w:val="00B36E05"/>
    <w:rsid w:val="00B3741B"/>
    <w:rsid w:val="00B4235B"/>
    <w:rsid w:val="00B44407"/>
    <w:rsid w:val="00B46C18"/>
    <w:rsid w:val="00B47DDA"/>
    <w:rsid w:val="00B50884"/>
    <w:rsid w:val="00B54E11"/>
    <w:rsid w:val="00B63B6B"/>
    <w:rsid w:val="00B63E13"/>
    <w:rsid w:val="00B64ECD"/>
    <w:rsid w:val="00B67FFC"/>
    <w:rsid w:val="00B71122"/>
    <w:rsid w:val="00B7185A"/>
    <w:rsid w:val="00B743EE"/>
    <w:rsid w:val="00B75098"/>
    <w:rsid w:val="00B759C4"/>
    <w:rsid w:val="00B7658E"/>
    <w:rsid w:val="00B81219"/>
    <w:rsid w:val="00B85C3A"/>
    <w:rsid w:val="00B86793"/>
    <w:rsid w:val="00B90B93"/>
    <w:rsid w:val="00B91992"/>
    <w:rsid w:val="00B96393"/>
    <w:rsid w:val="00BA4AA8"/>
    <w:rsid w:val="00BB0FAE"/>
    <w:rsid w:val="00BB1AFC"/>
    <w:rsid w:val="00BB3EDA"/>
    <w:rsid w:val="00BB3F99"/>
    <w:rsid w:val="00BC13AA"/>
    <w:rsid w:val="00BC3091"/>
    <w:rsid w:val="00BC58D9"/>
    <w:rsid w:val="00BE205B"/>
    <w:rsid w:val="00BE5967"/>
    <w:rsid w:val="00BE7531"/>
    <w:rsid w:val="00BF14AF"/>
    <w:rsid w:val="00BF1C96"/>
    <w:rsid w:val="00BF73DF"/>
    <w:rsid w:val="00BF7BF1"/>
    <w:rsid w:val="00C10A48"/>
    <w:rsid w:val="00C14218"/>
    <w:rsid w:val="00C23E76"/>
    <w:rsid w:val="00C34E70"/>
    <w:rsid w:val="00C409F0"/>
    <w:rsid w:val="00C44FAC"/>
    <w:rsid w:val="00C46D08"/>
    <w:rsid w:val="00C644B6"/>
    <w:rsid w:val="00C66665"/>
    <w:rsid w:val="00C674AB"/>
    <w:rsid w:val="00C738B8"/>
    <w:rsid w:val="00C82D16"/>
    <w:rsid w:val="00C85335"/>
    <w:rsid w:val="00C9478B"/>
    <w:rsid w:val="00C9507E"/>
    <w:rsid w:val="00C950E8"/>
    <w:rsid w:val="00C96E45"/>
    <w:rsid w:val="00CB1715"/>
    <w:rsid w:val="00CB2578"/>
    <w:rsid w:val="00CC5B5F"/>
    <w:rsid w:val="00CD1166"/>
    <w:rsid w:val="00CE0C08"/>
    <w:rsid w:val="00CE2E9A"/>
    <w:rsid w:val="00CE3EDB"/>
    <w:rsid w:val="00CE5802"/>
    <w:rsid w:val="00CE6797"/>
    <w:rsid w:val="00CE7887"/>
    <w:rsid w:val="00D126E4"/>
    <w:rsid w:val="00D21CC6"/>
    <w:rsid w:val="00D240AB"/>
    <w:rsid w:val="00D24B61"/>
    <w:rsid w:val="00D32501"/>
    <w:rsid w:val="00D37ED7"/>
    <w:rsid w:val="00D41B86"/>
    <w:rsid w:val="00D43319"/>
    <w:rsid w:val="00D461BF"/>
    <w:rsid w:val="00D61AAA"/>
    <w:rsid w:val="00D67180"/>
    <w:rsid w:val="00D7283C"/>
    <w:rsid w:val="00D7500A"/>
    <w:rsid w:val="00D754B0"/>
    <w:rsid w:val="00D80B6D"/>
    <w:rsid w:val="00D82253"/>
    <w:rsid w:val="00D82EA0"/>
    <w:rsid w:val="00D856E6"/>
    <w:rsid w:val="00D858CD"/>
    <w:rsid w:val="00D90BD7"/>
    <w:rsid w:val="00D91999"/>
    <w:rsid w:val="00D93D57"/>
    <w:rsid w:val="00DA0C3A"/>
    <w:rsid w:val="00DA5B42"/>
    <w:rsid w:val="00DA7955"/>
    <w:rsid w:val="00DB01C5"/>
    <w:rsid w:val="00DB0559"/>
    <w:rsid w:val="00DB0696"/>
    <w:rsid w:val="00DB31C1"/>
    <w:rsid w:val="00DD53F7"/>
    <w:rsid w:val="00DD6573"/>
    <w:rsid w:val="00DE39D6"/>
    <w:rsid w:val="00DE6887"/>
    <w:rsid w:val="00DF3D9D"/>
    <w:rsid w:val="00E10B4F"/>
    <w:rsid w:val="00E11407"/>
    <w:rsid w:val="00E168D8"/>
    <w:rsid w:val="00E17673"/>
    <w:rsid w:val="00E17F47"/>
    <w:rsid w:val="00E30A9B"/>
    <w:rsid w:val="00E30F60"/>
    <w:rsid w:val="00E31971"/>
    <w:rsid w:val="00E3712B"/>
    <w:rsid w:val="00E41355"/>
    <w:rsid w:val="00E72FE7"/>
    <w:rsid w:val="00E85F6D"/>
    <w:rsid w:val="00E86C72"/>
    <w:rsid w:val="00EA4A56"/>
    <w:rsid w:val="00EB17AB"/>
    <w:rsid w:val="00EB4140"/>
    <w:rsid w:val="00ED03F0"/>
    <w:rsid w:val="00ED4CA6"/>
    <w:rsid w:val="00EE1A64"/>
    <w:rsid w:val="00EF0169"/>
    <w:rsid w:val="00EF1AAC"/>
    <w:rsid w:val="00F01DF4"/>
    <w:rsid w:val="00F03501"/>
    <w:rsid w:val="00F1007F"/>
    <w:rsid w:val="00F13620"/>
    <w:rsid w:val="00F24BAD"/>
    <w:rsid w:val="00F25CE9"/>
    <w:rsid w:val="00F272B9"/>
    <w:rsid w:val="00F33007"/>
    <w:rsid w:val="00F333F4"/>
    <w:rsid w:val="00F35070"/>
    <w:rsid w:val="00F350B6"/>
    <w:rsid w:val="00F359A2"/>
    <w:rsid w:val="00F37D2C"/>
    <w:rsid w:val="00F41055"/>
    <w:rsid w:val="00F41B72"/>
    <w:rsid w:val="00F41D3C"/>
    <w:rsid w:val="00F4531A"/>
    <w:rsid w:val="00F45A69"/>
    <w:rsid w:val="00F5694D"/>
    <w:rsid w:val="00F60CDE"/>
    <w:rsid w:val="00F64188"/>
    <w:rsid w:val="00F65FB5"/>
    <w:rsid w:val="00F70A92"/>
    <w:rsid w:val="00F73C45"/>
    <w:rsid w:val="00F73FE9"/>
    <w:rsid w:val="00F94040"/>
    <w:rsid w:val="00F97B59"/>
    <w:rsid w:val="00FA110D"/>
    <w:rsid w:val="00FA1E97"/>
    <w:rsid w:val="00FA3C2B"/>
    <w:rsid w:val="00FA789F"/>
    <w:rsid w:val="00FB313E"/>
    <w:rsid w:val="00FB5970"/>
    <w:rsid w:val="00FC024B"/>
    <w:rsid w:val="00FC5A56"/>
    <w:rsid w:val="00FC6A9E"/>
    <w:rsid w:val="010440DC"/>
    <w:rsid w:val="011516BE"/>
    <w:rsid w:val="01340840"/>
    <w:rsid w:val="0148428A"/>
    <w:rsid w:val="01621488"/>
    <w:rsid w:val="01F527DC"/>
    <w:rsid w:val="01FF14EF"/>
    <w:rsid w:val="022A45AE"/>
    <w:rsid w:val="0269179B"/>
    <w:rsid w:val="02775F01"/>
    <w:rsid w:val="02E2502E"/>
    <w:rsid w:val="033E25E9"/>
    <w:rsid w:val="03A936D4"/>
    <w:rsid w:val="03F203E5"/>
    <w:rsid w:val="053F7F5F"/>
    <w:rsid w:val="05505FE6"/>
    <w:rsid w:val="05CA4F74"/>
    <w:rsid w:val="05D71ABD"/>
    <w:rsid w:val="060A0479"/>
    <w:rsid w:val="06474F8D"/>
    <w:rsid w:val="069E6BFD"/>
    <w:rsid w:val="06B2740C"/>
    <w:rsid w:val="06F16921"/>
    <w:rsid w:val="07927B7F"/>
    <w:rsid w:val="08387626"/>
    <w:rsid w:val="08395864"/>
    <w:rsid w:val="08883F24"/>
    <w:rsid w:val="08B62AA9"/>
    <w:rsid w:val="09426A4C"/>
    <w:rsid w:val="094D2B44"/>
    <w:rsid w:val="09724E87"/>
    <w:rsid w:val="09790EC8"/>
    <w:rsid w:val="099C7C92"/>
    <w:rsid w:val="09AD38FB"/>
    <w:rsid w:val="09B10828"/>
    <w:rsid w:val="09BC5870"/>
    <w:rsid w:val="0A0D6AB8"/>
    <w:rsid w:val="0A111D14"/>
    <w:rsid w:val="0A65277A"/>
    <w:rsid w:val="0ACA377F"/>
    <w:rsid w:val="0B2D7ECC"/>
    <w:rsid w:val="0BE72379"/>
    <w:rsid w:val="0D2B7F62"/>
    <w:rsid w:val="0D6D1A0E"/>
    <w:rsid w:val="0D831898"/>
    <w:rsid w:val="0DB8280C"/>
    <w:rsid w:val="0DC32DFC"/>
    <w:rsid w:val="0DD43009"/>
    <w:rsid w:val="0E1E14C1"/>
    <w:rsid w:val="0EA8329A"/>
    <w:rsid w:val="0F1B7E2D"/>
    <w:rsid w:val="0F1F51BD"/>
    <w:rsid w:val="0FB73EB5"/>
    <w:rsid w:val="1076602F"/>
    <w:rsid w:val="108372C7"/>
    <w:rsid w:val="10924865"/>
    <w:rsid w:val="10B2460C"/>
    <w:rsid w:val="10CC5A85"/>
    <w:rsid w:val="12245B73"/>
    <w:rsid w:val="1282093F"/>
    <w:rsid w:val="12FA4466"/>
    <w:rsid w:val="14130BAC"/>
    <w:rsid w:val="145717E4"/>
    <w:rsid w:val="14BC51F4"/>
    <w:rsid w:val="14FD12CF"/>
    <w:rsid w:val="1504003B"/>
    <w:rsid w:val="155A79D2"/>
    <w:rsid w:val="158E5D1E"/>
    <w:rsid w:val="15B765EA"/>
    <w:rsid w:val="164E73EC"/>
    <w:rsid w:val="169F1D99"/>
    <w:rsid w:val="16CF1E5C"/>
    <w:rsid w:val="16D070BD"/>
    <w:rsid w:val="17BD31D4"/>
    <w:rsid w:val="17C153A9"/>
    <w:rsid w:val="17D76350"/>
    <w:rsid w:val="1836614D"/>
    <w:rsid w:val="18AE2C4E"/>
    <w:rsid w:val="191D73F2"/>
    <w:rsid w:val="193C217A"/>
    <w:rsid w:val="19673602"/>
    <w:rsid w:val="19B24DA6"/>
    <w:rsid w:val="19F563FB"/>
    <w:rsid w:val="1A72117A"/>
    <w:rsid w:val="1A9F2287"/>
    <w:rsid w:val="1AE43D18"/>
    <w:rsid w:val="1B001ECC"/>
    <w:rsid w:val="1B5772E2"/>
    <w:rsid w:val="1BFC4E10"/>
    <w:rsid w:val="1C7768C5"/>
    <w:rsid w:val="1CA61F3B"/>
    <w:rsid w:val="1D170B89"/>
    <w:rsid w:val="1D2B0FD4"/>
    <w:rsid w:val="1D85455C"/>
    <w:rsid w:val="1DC822A0"/>
    <w:rsid w:val="1E1950B4"/>
    <w:rsid w:val="1E331C0F"/>
    <w:rsid w:val="1E907D44"/>
    <w:rsid w:val="1EA448ED"/>
    <w:rsid w:val="1EAF2EA6"/>
    <w:rsid w:val="1EB50084"/>
    <w:rsid w:val="1EDF2BF5"/>
    <w:rsid w:val="1F131CC9"/>
    <w:rsid w:val="1F3B7A90"/>
    <w:rsid w:val="1F3C0D5F"/>
    <w:rsid w:val="1F45749A"/>
    <w:rsid w:val="1F502ECB"/>
    <w:rsid w:val="1FAF2C5A"/>
    <w:rsid w:val="1FB150D9"/>
    <w:rsid w:val="207B2E4B"/>
    <w:rsid w:val="207B3E40"/>
    <w:rsid w:val="207C1ED5"/>
    <w:rsid w:val="20D57A78"/>
    <w:rsid w:val="20F03700"/>
    <w:rsid w:val="2132349F"/>
    <w:rsid w:val="214338A2"/>
    <w:rsid w:val="21622AF5"/>
    <w:rsid w:val="216B2FE6"/>
    <w:rsid w:val="219F660A"/>
    <w:rsid w:val="220A0A7A"/>
    <w:rsid w:val="22196E59"/>
    <w:rsid w:val="229C7E97"/>
    <w:rsid w:val="22A70BE0"/>
    <w:rsid w:val="22CF5387"/>
    <w:rsid w:val="23842805"/>
    <w:rsid w:val="238A1B92"/>
    <w:rsid w:val="23A763B5"/>
    <w:rsid w:val="241E3C4A"/>
    <w:rsid w:val="24363D59"/>
    <w:rsid w:val="24593426"/>
    <w:rsid w:val="24B521EB"/>
    <w:rsid w:val="24C366E3"/>
    <w:rsid w:val="24E371F6"/>
    <w:rsid w:val="25926F08"/>
    <w:rsid w:val="261E55C3"/>
    <w:rsid w:val="267A4F29"/>
    <w:rsid w:val="26993D37"/>
    <w:rsid w:val="26AC60E7"/>
    <w:rsid w:val="26C02430"/>
    <w:rsid w:val="26D523DF"/>
    <w:rsid w:val="27390EE6"/>
    <w:rsid w:val="279F712B"/>
    <w:rsid w:val="27AB23D4"/>
    <w:rsid w:val="27BC72C5"/>
    <w:rsid w:val="27C673FD"/>
    <w:rsid w:val="27DF5779"/>
    <w:rsid w:val="288244D1"/>
    <w:rsid w:val="28924D9E"/>
    <w:rsid w:val="28BE2962"/>
    <w:rsid w:val="29525EB4"/>
    <w:rsid w:val="2A287B75"/>
    <w:rsid w:val="2A6D0F8F"/>
    <w:rsid w:val="2B073495"/>
    <w:rsid w:val="2B3E15CE"/>
    <w:rsid w:val="2B7955E4"/>
    <w:rsid w:val="2B8D6F3A"/>
    <w:rsid w:val="2BBD7C07"/>
    <w:rsid w:val="2C0C17E0"/>
    <w:rsid w:val="2C1A5F84"/>
    <w:rsid w:val="2C2B40D9"/>
    <w:rsid w:val="2C6B7F24"/>
    <w:rsid w:val="2CD207AE"/>
    <w:rsid w:val="2D9E44D0"/>
    <w:rsid w:val="2DE11E62"/>
    <w:rsid w:val="2E3B4AE6"/>
    <w:rsid w:val="2E636E9D"/>
    <w:rsid w:val="2F4316D2"/>
    <w:rsid w:val="2F7A20D0"/>
    <w:rsid w:val="2FF3251C"/>
    <w:rsid w:val="2FFA64ED"/>
    <w:rsid w:val="302A331E"/>
    <w:rsid w:val="30671018"/>
    <w:rsid w:val="30804A52"/>
    <w:rsid w:val="30DF62DC"/>
    <w:rsid w:val="30FD3F2C"/>
    <w:rsid w:val="31066305"/>
    <w:rsid w:val="314D64C4"/>
    <w:rsid w:val="31535B73"/>
    <w:rsid w:val="316A226C"/>
    <w:rsid w:val="325A3E25"/>
    <w:rsid w:val="325F323E"/>
    <w:rsid w:val="32B24D19"/>
    <w:rsid w:val="332738FD"/>
    <w:rsid w:val="337162A0"/>
    <w:rsid w:val="33C806D6"/>
    <w:rsid w:val="33F271BA"/>
    <w:rsid w:val="34FA29FB"/>
    <w:rsid w:val="35184748"/>
    <w:rsid w:val="3527760D"/>
    <w:rsid w:val="356A304A"/>
    <w:rsid w:val="35A93F12"/>
    <w:rsid w:val="35C42D1A"/>
    <w:rsid w:val="36022C46"/>
    <w:rsid w:val="3721052F"/>
    <w:rsid w:val="374723F3"/>
    <w:rsid w:val="37781635"/>
    <w:rsid w:val="37CF60F4"/>
    <w:rsid w:val="37F1284C"/>
    <w:rsid w:val="381D7C9C"/>
    <w:rsid w:val="38211920"/>
    <w:rsid w:val="384E464E"/>
    <w:rsid w:val="386F5D34"/>
    <w:rsid w:val="386F623D"/>
    <w:rsid w:val="395C2D2F"/>
    <w:rsid w:val="39F22A25"/>
    <w:rsid w:val="3A393DF1"/>
    <w:rsid w:val="3A4F36DB"/>
    <w:rsid w:val="3A9C6ABD"/>
    <w:rsid w:val="3AF31810"/>
    <w:rsid w:val="3B1A1976"/>
    <w:rsid w:val="3B96079D"/>
    <w:rsid w:val="3BC829D6"/>
    <w:rsid w:val="3BFB4EF1"/>
    <w:rsid w:val="3C291059"/>
    <w:rsid w:val="3C4D3B5F"/>
    <w:rsid w:val="3CAC13A9"/>
    <w:rsid w:val="3CE24110"/>
    <w:rsid w:val="3D2E5A8C"/>
    <w:rsid w:val="3D414EEC"/>
    <w:rsid w:val="3D806A3D"/>
    <w:rsid w:val="3E4C4BBE"/>
    <w:rsid w:val="3EDB3492"/>
    <w:rsid w:val="3EE56403"/>
    <w:rsid w:val="3FBF53AB"/>
    <w:rsid w:val="402E37BC"/>
    <w:rsid w:val="403307B5"/>
    <w:rsid w:val="40D61CBA"/>
    <w:rsid w:val="40F929E8"/>
    <w:rsid w:val="411532F9"/>
    <w:rsid w:val="41FF0945"/>
    <w:rsid w:val="424E62AB"/>
    <w:rsid w:val="426E7914"/>
    <w:rsid w:val="42F273CF"/>
    <w:rsid w:val="438F2EF3"/>
    <w:rsid w:val="43B40309"/>
    <w:rsid w:val="44096B6D"/>
    <w:rsid w:val="440B48D1"/>
    <w:rsid w:val="44673385"/>
    <w:rsid w:val="44CC3D19"/>
    <w:rsid w:val="44E80B10"/>
    <w:rsid w:val="44F57797"/>
    <w:rsid w:val="44FB6905"/>
    <w:rsid w:val="45376900"/>
    <w:rsid w:val="453B4A8C"/>
    <w:rsid w:val="45C218AE"/>
    <w:rsid w:val="464963CE"/>
    <w:rsid w:val="466562BB"/>
    <w:rsid w:val="467F5A48"/>
    <w:rsid w:val="468A4347"/>
    <w:rsid w:val="469017DD"/>
    <w:rsid w:val="47633879"/>
    <w:rsid w:val="478B037C"/>
    <w:rsid w:val="47F55008"/>
    <w:rsid w:val="48052B82"/>
    <w:rsid w:val="4836271F"/>
    <w:rsid w:val="487E3C41"/>
    <w:rsid w:val="487F0B53"/>
    <w:rsid w:val="48D900B8"/>
    <w:rsid w:val="49351265"/>
    <w:rsid w:val="498D286D"/>
    <w:rsid w:val="4A0423C8"/>
    <w:rsid w:val="4A0E176F"/>
    <w:rsid w:val="4A111385"/>
    <w:rsid w:val="4A521399"/>
    <w:rsid w:val="4A5309D8"/>
    <w:rsid w:val="4A6643F5"/>
    <w:rsid w:val="4A853B83"/>
    <w:rsid w:val="4AA21C95"/>
    <w:rsid w:val="4B6978CC"/>
    <w:rsid w:val="4B6E5ACA"/>
    <w:rsid w:val="4BA674B6"/>
    <w:rsid w:val="4BC028AA"/>
    <w:rsid w:val="4BE07103"/>
    <w:rsid w:val="4C8006FB"/>
    <w:rsid w:val="4D0A78BD"/>
    <w:rsid w:val="4D151FDB"/>
    <w:rsid w:val="4D2F0B2D"/>
    <w:rsid w:val="4DA46360"/>
    <w:rsid w:val="4E320365"/>
    <w:rsid w:val="4E3C3076"/>
    <w:rsid w:val="4E445B45"/>
    <w:rsid w:val="4E473F5E"/>
    <w:rsid w:val="4E964552"/>
    <w:rsid w:val="4EA274F5"/>
    <w:rsid w:val="4EE224C5"/>
    <w:rsid w:val="4FA45BD2"/>
    <w:rsid w:val="4FDA525E"/>
    <w:rsid w:val="503A13B8"/>
    <w:rsid w:val="51E62590"/>
    <w:rsid w:val="52020442"/>
    <w:rsid w:val="520E6AD8"/>
    <w:rsid w:val="52145019"/>
    <w:rsid w:val="52150801"/>
    <w:rsid w:val="52EA3F14"/>
    <w:rsid w:val="53074D1F"/>
    <w:rsid w:val="533E194C"/>
    <w:rsid w:val="539B113C"/>
    <w:rsid w:val="53D06DE6"/>
    <w:rsid w:val="53D8209E"/>
    <w:rsid w:val="53FF0A7D"/>
    <w:rsid w:val="54A21C41"/>
    <w:rsid w:val="54D82B4F"/>
    <w:rsid w:val="54DB5397"/>
    <w:rsid w:val="55664741"/>
    <w:rsid w:val="55D64AD2"/>
    <w:rsid w:val="562B6345"/>
    <w:rsid w:val="5690388B"/>
    <w:rsid w:val="56C1505E"/>
    <w:rsid w:val="56C70CB4"/>
    <w:rsid w:val="571A57E4"/>
    <w:rsid w:val="57413335"/>
    <w:rsid w:val="5762705A"/>
    <w:rsid w:val="57C90FA6"/>
    <w:rsid w:val="58120797"/>
    <w:rsid w:val="58226A99"/>
    <w:rsid w:val="585B5D4F"/>
    <w:rsid w:val="587B65A5"/>
    <w:rsid w:val="59002F10"/>
    <w:rsid w:val="597D3F5A"/>
    <w:rsid w:val="59CA1672"/>
    <w:rsid w:val="5A184092"/>
    <w:rsid w:val="5A1A5413"/>
    <w:rsid w:val="5A317807"/>
    <w:rsid w:val="5A345E2D"/>
    <w:rsid w:val="5A693DC1"/>
    <w:rsid w:val="5B4C28FF"/>
    <w:rsid w:val="5BE9466D"/>
    <w:rsid w:val="5C193213"/>
    <w:rsid w:val="5CAB14CE"/>
    <w:rsid w:val="5CE667B2"/>
    <w:rsid w:val="5D4B616B"/>
    <w:rsid w:val="5D7639F8"/>
    <w:rsid w:val="5DBA11CB"/>
    <w:rsid w:val="5DC315F0"/>
    <w:rsid w:val="5E1128C5"/>
    <w:rsid w:val="5E570305"/>
    <w:rsid w:val="5E855F6D"/>
    <w:rsid w:val="5ECF733E"/>
    <w:rsid w:val="5EDA4D9C"/>
    <w:rsid w:val="5EF23716"/>
    <w:rsid w:val="5F1947AA"/>
    <w:rsid w:val="5F2A7AD0"/>
    <w:rsid w:val="5F58118B"/>
    <w:rsid w:val="60322914"/>
    <w:rsid w:val="60B847DE"/>
    <w:rsid w:val="60DC7490"/>
    <w:rsid w:val="60E360DC"/>
    <w:rsid w:val="613E6BB0"/>
    <w:rsid w:val="618E6483"/>
    <w:rsid w:val="62324A8E"/>
    <w:rsid w:val="63D45CFB"/>
    <w:rsid w:val="63E53688"/>
    <w:rsid w:val="640969C7"/>
    <w:rsid w:val="648F42F5"/>
    <w:rsid w:val="64AA60EB"/>
    <w:rsid w:val="64EA36A2"/>
    <w:rsid w:val="656118E8"/>
    <w:rsid w:val="657D172D"/>
    <w:rsid w:val="65C219A9"/>
    <w:rsid w:val="65D06AFD"/>
    <w:rsid w:val="661A3EAB"/>
    <w:rsid w:val="669B0E4D"/>
    <w:rsid w:val="66BE17B8"/>
    <w:rsid w:val="66C54326"/>
    <w:rsid w:val="66CA0BF5"/>
    <w:rsid w:val="67381DEF"/>
    <w:rsid w:val="675623C5"/>
    <w:rsid w:val="67916195"/>
    <w:rsid w:val="67CE0C76"/>
    <w:rsid w:val="683239CC"/>
    <w:rsid w:val="684131DA"/>
    <w:rsid w:val="68557DE5"/>
    <w:rsid w:val="687F31BD"/>
    <w:rsid w:val="68F04D41"/>
    <w:rsid w:val="695E5C89"/>
    <w:rsid w:val="6A20027C"/>
    <w:rsid w:val="6A5B187D"/>
    <w:rsid w:val="6AA93D86"/>
    <w:rsid w:val="6B1A2185"/>
    <w:rsid w:val="6B5A7201"/>
    <w:rsid w:val="6B687B68"/>
    <w:rsid w:val="6BBF115C"/>
    <w:rsid w:val="6BE04BE9"/>
    <w:rsid w:val="6C3F3BC9"/>
    <w:rsid w:val="6C493E47"/>
    <w:rsid w:val="6C874897"/>
    <w:rsid w:val="6C89729E"/>
    <w:rsid w:val="6CB1254A"/>
    <w:rsid w:val="6CC21B15"/>
    <w:rsid w:val="6CD816E1"/>
    <w:rsid w:val="6CE8290F"/>
    <w:rsid w:val="6D07258A"/>
    <w:rsid w:val="6DD55356"/>
    <w:rsid w:val="6DFE6B0B"/>
    <w:rsid w:val="6E153A67"/>
    <w:rsid w:val="6FAF7D99"/>
    <w:rsid w:val="701A7231"/>
    <w:rsid w:val="70897A86"/>
    <w:rsid w:val="710E33B0"/>
    <w:rsid w:val="71730CBF"/>
    <w:rsid w:val="71755A61"/>
    <w:rsid w:val="71945955"/>
    <w:rsid w:val="71CF27E9"/>
    <w:rsid w:val="71F75A2A"/>
    <w:rsid w:val="72356840"/>
    <w:rsid w:val="725D6F35"/>
    <w:rsid w:val="72ED7EC4"/>
    <w:rsid w:val="731A58A5"/>
    <w:rsid w:val="733D3BAC"/>
    <w:rsid w:val="73870C4B"/>
    <w:rsid w:val="74553A63"/>
    <w:rsid w:val="74715B60"/>
    <w:rsid w:val="748F7AAC"/>
    <w:rsid w:val="74BC4387"/>
    <w:rsid w:val="74BF6552"/>
    <w:rsid w:val="74C52707"/>
    <w:rsid w:val="7507098F"/>
    <w:rsid w:val="751727E9"/>
    <w:rsid w:val="75C66FAC"/>
    <w:rsid w:val="75CC6581"/>
    <w:rsid w:val="763F4C57"/>
    <w:rsid w:val="765B2CA0"/>
    <w:rsid w:val="76931E1A"/>
    <w:rsid w:val="76B8098A"/>
    <w:rsid w:val="76F43FA8"/>
    <w:rsid w:val="76F82F29"/>
    <w:rsid w:val="770F407D"/>
    <w:rsid w:val="772F7F83"/>
    <w:rsid w:val="77357C79"/>
    <w:rsid w:val="77D20018"/>
    <w:rsid w:val="7808671B"/>
    <w:rsid w:val="78673398"/>
    <w:rsid w:val="79A37B8C"/>
    <w:rsid w:val="7A446ECD"/>
    <w:rsid w:val="7A5A0D65"/>
    <w:rsid w:val="7AB334D2"/>
    <w:rsid w:val="7ACE7B8C"/>
    <w:rsid w:val="7AE4344F"/>
    <w:rsid w:val="7AF97A35"/>
    <w:rsid w:val="7B0F275A"/>
    <w:rsid w:val="7B237D35"/>
    <w:rsid w:val="7B390841"/>
    <w:rsid w:val="7B43460F"/>
    <w:rsid w:val="7BAF2DB0"/>
    <w:rsid w:val="7C1A6BD7"/>
    <w:rsid w:val="7C471F05"/>
    <w:rsid w:val="7C92315C"/>
    <w:rsid w:val="7D34696C"/>
    <w:rsid w:val="7D353EB9"/>
    <w:rsid w:val="7D5771AB"/>
    <w:rsid w:val="7D6640F8"/>
    <w:rsid w:val="7D70722C"/>
    <w:rsid w:val="7D717A39"/>
    <w:rsid w:val="7DF75970"/>
    <w:rsid w:val="7DF84014"/>
    <w:rsid w:val="7E54478D"/>
    <w:rsid w:val="7E5642C9"/>
    <w:rsid w:val="7E9117A6"/>
    <w:rsid w:val="7ED51B38"/>
    <w:rsid w:val="7EF7586A"/>
    <w:rsid w:val="7F0A160B"/>
    <w:rsid w:val="7F861667"/>
    <w:rsid w:val="7FC8211E"/>
    <w:rsid w:val="7FD911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3">
    <w:name w:val="heading 1"/>
    <w:basedOn w:val="1"/>
    <w:next w:val="1"/>
    <w:qFormat/>
    <w:uiPriority w:val="0"/>
    <w:pPr>
      <w:keepNext/>
      <w:spacing w:before="240" w:after="60"/>
      <w:outlineLvl w:val="0"/>
    </w:pPr>
    <w:rPr>
      <w:rFonts w:ascii="Arial" w:hAnsi="Arial" w:cs="Arial"/>
      <w:b/>
      <w:bCs/>
      <w:kern w:val="32"/>
      <w:sz w:val="32"/>
      <w:szCs w:val="32"/>
    </w:rPr>
  </w:style>
  <w:style w:type="paragraph" w:styleId="4">
    <w:name w:val="heading 2"/>
    <w:basedOn w:val="1"/>
    <w:next w:val="1"/>
    <w:link w:val="19"/>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0"/>
    <w:semiHidden/>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TableOfAuthoring"/>
    <w:next w:val="1"/>
    <w:qFormat/>
    <w:uiPriority w:val="0"/>
    <w:pPr>
      <w:widowControl w:val="0"/>
      <w:ind w:left="420" w:leftChars="200"/>
      <w:jc w:val="both"/>
      <w:textAlignment w:val="baseline"/>
    </w:pPr>
    <w:rPr>
      <w:rFonts w:ascii="Calibri" w:hAnsi="Calibri" w:eastAsia="宋体" w:cs="Times New Roman"/>
      <w:kern w:val="2"/>
      <w:sz w:val="21"/>
      <w:szCs w:val="24"/>
      <w:lang w:val="en-US" w:eastAsia="zh-CN" w:bidi="ar-SA"/>
    </w:rPr>
  </w:style>
  <w:style w:type="paragraph" w:styleId="6">
    <w:name w:val="annotation text"/>
    <w:basedOn w:val="1"/>
    <w:link w:val="66"/>
    <w:semiHidden/>
    <w:unhideWhenUsed/>
    <w:qFormat/>
    <w:uiPriority w:val="0"/>
    <w:pPr>
      <w:snapToGrid w:val="0"/>
      <w:spacing w:beforeLines="50" w:line="360" w:lineRule="auto"/>
      <w:ind w:firstLine="200" w:firstLineChars="200"/>
      <w:jc w:val="left"/>
    </w:pPr>
    <w:rPr>
      <w:rFonts w:eastAsia="仿宋_GB2132"/>
      <w:sz w:val="28"/>
      <w:szCs w:val="22"/>
    </w:rPr>
  </w:style>
  <w:style w:type="paragraph" w:styleId="7">
    <w:name w:val="toc 3"/>
    <w:basedOn w:val="1"/>
    <w:next w:val="1"/>
    <w:unhideWhenUsed/>
    <w:qFormat/>
    <w:uiPriority w:val="39"/>
    <w:pPr>
      <w:ind w:left="840" w:leftChars="400"/>
    </w:pPr>
  </w:style>
  <w:style w:type="paragraph" w:styleId="8">
    <w:name w:val="Balloon Text"/>
    <w:basedOn w:val="1"/>
    <w:link w:val="21"/>
    <w:semiHidden/>
    <w:unhideWhenUsed/>
    <w:qFormat/>
    <w:uiPriority w:val="99"/>
    <w:rPr>
      <w:sz w:val="18"/>
      <w:szCs w:val="18"/>
    </w:rPr>
  </w:style>
  <w:style w:type="paragraph" w:styleId="9">
    <w:name w:val="footer"/>
    <w:basedOn w:val="1"/>
    <w:semiHidden/>
    <w:unhideWhenUsed/>
    <w:qFormat/>
    <w:uiPriority w:val="99"/>
    <w:pPr>
      <w:tabs>
        <w:tab w:val="center" w:pos="4153"/>
        <w:tab w:val="right" w:pos="8306"/>
      </w:tabs>
      <w:snapToGrid w:val="0"/>
    </w:pPr>
    <w:rPr>
      <w:rFonts w:asciiTheme="minorHAnsi" w:hAnsiTheme="minorHAnsi" w:eastAsiaTheme="minorEastAsia" w:cstheme="minorBidi"/>
      <w:sz w:val="18"/>
      <w:szCs w:val="18"/>
    </w:rPr>
  </w:style>
  <w:style w:type="paragraph" w:styleId="10">
    <w:name w:val="header"/>
    <w:basedOn w:val="1"/>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1">
    <w:name w:val="toc 1"/>
    <w:basedOn w:val="1"/>
    <w:next w:val="1"/>
    <w:unhideWhenUsed/>
    <w:qFormat/>
    <w:uiPriority w:val="39"/>
    <w:pPr>
      <w:tabs>
        <w:tab w:val="right" w:leader="dot" w:pos="8296"/>
      </w:tabs>
      <w:jc w:val="center"/>
    </w:pPr>
  </w:style>
  <w:style w:type="paragraph" w:styleId="12">
    <w:name w:val="toc 2"/>
    <w:basedOn w:val="1"/>
    <w:next w:val="1"/>
    <w:unhideWhenUsed/>
    <w:qFormat/>
    <w:uiPriority w:val="39"/>
    <w:pPr>
      <w:ind w:left="420" w:leftChars="200"/>
    </w:pPr>
  </w:style>
  <w:style w:type="paragraph" w:styleId="13">
    <w:name w:val="Normal (Web)"/>
    <w:basedOn w:val="1"/>
    <w:unhideWhenUsed/>
    <w:qFormat/>
    <w:uiPriority w:val="99"/>
    <w:pPr>
      <w:spacing w:before="100" w:beforeAutospacing="1" w:after="100" w:afterAutospacing="1"/>
    </w:pPr>
    <w:rPr>
      <w:rFonts w:ascii="宋体" w:hAnsi="宋体" w:cs="宋体"/>
    </w:rPr>
  </w:style>
  <w:style w:type="table" w:styleId="15">
    <w:name w:val="Table Grid"/>
    <w:basedOn w:val="1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Hyperlink"/>
    <w:basedOn w:val="16"/>
    <w:unhideWhenUsed/>
    <w:qFormat/>
    <w:uiPriority w:val="99"/>
    <w:rPr>
      <w:color w:val="0000FF" w:themeColor="hyperlink"/>
      <w:u w:val="single"/>
    </w:rPr>
  </w:style>
  <w:style w:type="character" w:customStyle="1" w:styleId="19">
    <w:name w:val="标题 2 Char"/>
    <w:basedOn w:val="16"/>
    <w:link w:val="4"/>
    <w:semiHidden/>
    <w:qFormat/>
    <w:uiPriority w:val="9"/>
    <w:rPr>
      <w:rFonts w:asciiTheme="majorHAnsi" w:hAnsiTheme="majorHAnsi" w:eastAsiaTheme="majorEastAsia" w:cstheme="majorBidi"/>
      <w:b/>
      <w:bCs/>
      <w:kern w:val="2"/>
      <w:sz w:val="32"/>
      <w:szCs w:val="32"/>
    </w:rPr>
  </w:style>
  <w:style w:type="character" w:customStyle="1" w:styleId="20">
    <w:name w:val="标题 3 Char"/>
    <w:basedOn w:val="16"/>
    <w:link w:val="5"/>
    <w:semiHidden/>
    <w:qFormat/>
    <w:uiPriority w:val="9"/>
    <w:rPr>
      <w:rFonts w:ascii="Calibri" w:hAnsi="Calibri"/>
      <w:b/>
      <w:bCs/>
      <w:kern w:val="2"/>
      <w:sz w:val="32"/>
      <w:szCs w:val="32"/>
    </w:rPr>
  </w:style>
  <w:style w:type="character" w:customStyle="1" w:styleId="21">
    <w:name w:val="批注框文本 Char"/>
    <w:basedOn w:val="16"/>
    <w:link w:val="8"/>
    <w:semiHidden/>
    <w:qFormat/>
    <w:uiPriority w:val="99"/>
    <w:rPr>
      <w:rFonts w:ascii="Calibri" w:hAnsi="Calibri" w:eastAsia="宋体" w:cs="Times New Roman"/>
      <w:sz w:val="18"/>
      <w:szCs w:val="18"/>
    </w:rPr>
  </w:style>
  <w:style w:type="paragraph" w:styleId="22">
    <w:name w:val="List Paragraph"/>
    <w:basedOn w:val="1"/>
    <w:qFormat/>
    <w:uiPriority w:val="34"/>
    <w:pPr>
      <w:ind w:firstLine="420" w:firstLineChars="200"/>
    </w:pPr>
  </w:style>
  <w:style w:type="paragraph" w:customStyle="1" w:styleId="23">
    <w:name w:val="dateStyle"/>
    <w:basedOn w:val="1"/>
    <w:qFormat/>
    <w:uiPriority w:val="0"/>
    <w:rPr>
      <w:rFonts w:ascii="黑体" w:hAnsi="黑体" w:eastAsia="黑体" w:cs="黑体"/>
      <w:b/>
      <w:sz w:val="68"/>
    </w:rPr>
  </w:style>
  <w:style w:type="paragraph" w:customStyle="1" w:styleId="24">
    <w:name w:val="titleStyle"/>
    <w:basedOn w:val="1"/>
    <w:qFormat/>
    <w:uiPriority w:val="0"/>
    <w:rPr>
      <w:rFonts w:ascii="黑体" w:hAnsi="黑体" w:eastAsia="黑体" w:cs="黑体"/>
      <w:b/>
      <w:sz w:val="68"/>
    </w:rPr>
  </w:style>
  <w:style w:type="paragraph" w:customStyle="1" w:styleId="25">
    <w:name w:val="shoolStyle"/>
    <w:basedOn w:val="1"/>
    <w:qFormat/>
    <w:uiPriority w:val="0"/>
    <w:rPr>
      <w:rFonts w:ascii="黑体" w:hAnsi="黑体" w:eastAsia="黑体" w:cs="黑体"/>
      <w:b/>
      <w:sz w:val="28"/>
    </w:rPr>
  </w:style>
  <w:style w:type="paragraph" w:customStyle="1" w:styleId="26">
    <w:name w:val="catalogStyle"/>
    <w:basedOn w:val="1"/>
    <w:qFormat/>
    <w:uiPriority w:val="0"/>
    <w:rPr>
      <w:rFonts w:ascii="黑体" w:hAnsi="黑体" w:eastAsia="黑体" w:cs="黑体"/>
      <w:b/>
      <w:sz w:val="36"/>
    </w:rPr>
  </w:style>
  <w:style w:type="paragraph" w:customStyle="1" w:styleId="27">
    <w:name w:val="tocStyle1"/>
    <w:basedOn w:val="1"/>
    <w:qFormat/>
    <w:uiPriority w:val="0"/>
    <w:rPr>
      <w:rFonts w:ascii="宋体" w:hAnsi="宋体" w:cs="宋体"/>
      <w:sz w:val="28"/>
    </w:rPr>
  </w:style>
  <w:style w:type="paragraph" w:customStyle="1" w:styleId="28">
    <w:name w:val="tocStyle2"/>
    <w:basedOn w:val="1"/>
    <w:qFormat/>
    <w:uiPriority w:val="0"/>
    <w:rPr>
      <w:rFonts w:ascii="宋体" w:hAnsi="宋体" w:cs="宋体"/>
      <w:sz w:val="28"/>
    </w:rPr>
  </w:style>
  <w:style w:type="paragraph" w:customStyle="1" w:styleId="29">
    <w:name w:val="tocStyle3"/>
    <w:basedOn w:val="1"/>
    <w:qFormat/>
    <w:uiPriority w:val="0"/>
    <w:rPr>
      <w:rFonts w:ascii="宋体" w:hAnsi="宋体" w:cs="宋体"/>
      <w:sz w:val="28"/>
    </w:rPr>
  </w:style>
  <w:style w:type="paragraph" w:customStyle="1" w:styleId="30">
    <w:name w:val="tocStyle4"/>
    <w:basedOn w:val="1"/>
    <w:qFormat/>
    <w:uiPriority w:val="0"/>
    <w:rPr>
      <w:rFonts w:ascii="宋体" w:hAnsi="宋体" w:cs="宋体"/>
      <w:sz w:val="28"/>
    </w:rPr>
  </w:style>
  <w:style w:type="paragraph" w:customStyle="1" w:styleId="31">
    <w:name w:val="tocStyle5"/>
    <w:basedOn w:val="1"/>
    <w:qFormat/>
    <w:uiPriority w:val="0"/>
    <w:rPr>
      <w:rFonts w:ascii="宋体" w:hAnsi="宋体" w:cs="宋体"/>
      <w:sz w:val="28"/>
    </w:rPr>
  </w:style>
  <w:style w:type="paragraph" w:customStyle="1" w:styleId="32">
    <w:name w:val="tocStyle6"/>
    <w:basedOn w:val="1"/>
    <w:qFormat/>
    <w:uiPriority w:val="0"/>
    <w:rPr>
      <w:rFonts w:ascii="宋体" w:hAnsi="宋体" w:cs="宋体"/>
      <w:sz w:val="28"/>
    </w:rPr>
  </w:style>
  <w:style w:type="paragraph" w:customStyle="1" w:styleId="33">
    <w:name w:val="tocStyle7"/>
    <w:basedOn w:val="1"/>
    <w:qFormat/>
    <w:uiPriority w:val="0"/>
    <w:rPr>
      <w:rFonts w:ascii="宋体" w:hAnsi="宋体" w:cs="宋体"/>
      <w:sz w:val="28"/>
    </w:rPr>
  </w:style>
  <w:style w:type="paragraph" w:customStyle="1" w:styleId="34">
    <w:name w:val="tocStyle8"/>
    <w:basedOn w:val="1"/>
    <w:qFormat/>
    <w:uiPriority w:val="0"/>
    <w:rPr>
      <w:rFonts w:ascii="宋体" w:hAnsi="宋体" w:cs="宋体"/>
      <w:sz w:val="28"/>
    </w:rPr>
  </w:style>
  <w:style w:type="paragraph" w:customStyle="1" w:styleId="35">
    <w:name w:val="tocStyle9"/>
    <w:basedOn w:val="1"/>
    <w:qFormat/>
    <w:uiPriority w:val="0"/>
    <w:rPr>
      <w:rFonts w:ascii="宋体" w:hAnsi="宋体" w:cs="宋体"/>
      <w:sz w:val="28"/>
    </w:rPr>
  </w:style>
  <w:style w:type="paragraph" w:customStyle="1" w:styleId="36">
    <w:name w:val="tocStyle10"/>
    <w:basedOn w:val="1"/>
    <w:qFormat/>
    <w:uiPriority w:val="0"/>
    <w:rPr>
      <w:rFonts w:ascii="宋体" w:hAnsi="宋体" w:cs="宋体"/>
      <w:sz w:val="28"/>
    </w:rPr>
  </w:style>
  <w:style w:type="paragraph" w:customStyle="1" w:styleId="37">
    <w:name w:val="tocStyle11"/>
    <w:basedOn w:val="1"/>
    <w:qFormat/>
    <w:uiPriority w:val="0"/>
    <w:rPr>
      <w:rFonts w:ascii="宋体" w:hAnsi="宋体" w:cs="宋体"/>
      <w:sz w:val="28"/>
    </w:rPr>
  </w:style>
  <w:style w:type="paragraph" w:customStyle="1" w:styleId="38">
    <w:name w:val="tocStyle12"/>
    <w:basedOn w:val="1"/>
    <w:qFormat/>
    <w:uiPriority w:val="0"/>
    <w:rPr>
      <w:rFonts w:ascii="宋体" w:hAnsi="宋体" w:cs="宋体"/>
      <w:sz w:val="28"/>
    </w:rPr>
  </w:style>
  <w:style w:type="paragraph" w:customStyle="1" w:styleId="39">
    <w:name w:val="tocStyle13"/>
    <w:basedOn w:val="1"/>
    <w:qFormat/>
    <w:uiPriority w:val="0"/>
    <w:rPr>
      <w:rFonts w:ascii="宋体" w:hAnsi="宋体" w:cs="宋体"/>
      <w:sz w:val="28"/>
    </w:rPr>
  </w:style>
  <w:style w:type="paragraph" w:customStyle="1" w:styleId="40">
    <w:name w:val="tocStyle14"/>
    <w:basedOn w:val="1"/>
    <w:qFormat/>
    <w:uiPriority w:val="0"/>
    <w:rPr>
      <w:rFonts w:ascii="宋体" w:hAnsi="宋体" w:cs="宋体"/>
      <w:sz w:val="28"/>
    </w:rPr>
  </w:style>
  <w:style w:type="paragraph" w:customStyle="1" w:styleId="41">
    <w:name w:val="tocStyle15"/>
    <w:basedOn w:val="1"/>
    <w:qFormat/>
    <w:uiPriority w:val="0"/>
    <w:rPr>
      <w:rFonts w:ascii="宋体" w:hAnsi="宋体" w:cs="宋体"/>
      <w:sz w:val="28"/>
    </w:rPr>
  </w:style>
  <w:style w:type="paragraph" w:customStyle="1" w:styleId="42">
    <w:name w:val="tocStyle16"/>
    <w:basedOn w:val="1"/>
    <w:qFormat/>
    <w:uiPriority w:val="0"/>
    <w:rPr>
      <w:rFonts w:ascii="宋体" w:hAnsi="宋体" w:cs="宋体"/>
      <w:sz w:val="28"/>
    </w:rPr>
  </w:style>
  <w:style w:type="paragraph" w:customStyle="1" w:styleId="43">
    <w:name w:val="tocStyle17"/>
    <w:basedOn w:val="1"/>
    <w:qFormat/>
    <w:uiPriority w:val="0"/>
    <w:rPr>
      <w:rFonts w:ascii="宋体" w:hAnsi="宋体" w:cs="宋体"/>
      <w:sz w:val="28"/>
    </w:rPr>
  </w:style>
  <w:style w:type="paragraph" w:customStyle="1" w:styleId="44">
    <w:name w:val="tocStyle18"/>
    <w:basedOn w:val="1"/>
    <w:qFormat/>
    <w:uiPriority w:val="0"/>
    <w:rPr>
      <w:rFonts w:ascii="宋体" w:hAnsi="宋体" w:cs="宋体"/>
      <w:sz w:val="28"/>
    </w:rPr>
  </w:style>
  <w:style w:type="paragraph" w:customStyle="1" w:styleId="45">
    <w:name w:val="tocStyle19"/>
    <w:basedOn w:val="1"/>
    <w:qFormat/>
    <w:uiPriority w:val="0"/>
    <w:rPr>
      <w:rFonts w:ascii="宋体" w:hAnsi="宋体" w:cs="宋体"/>
      <w:sz w:val="28"/>
    </w:rPr>
  </w:style>
  <w:style w:type="paragraph" w:customStyle="1" w:styleId="46">
    <w:name w:val="tocStyle20"/>
    <w:basedOn w:val="1"/>
    <w:qFormat/>
    <w:uiPriority w:val="0"/>
    <w:rPr>
      <w:rFonts w:ascii="宋体" w:hAnsi="宋体" w:cs="宋体"/>
      <w:sz w:val="28"/>
    </w:rPr>
  </w:style>
  <w:style w:type="paragraph" w:customStyle="1" w:styleId="47">
    <w:name w:val="tocStyle21"/>
    <w:basedOn w:val="1"/>
    <w:qFormat/>
    <w:uiPriority w:val="0"/>
    <w:rPr>
      <w:rFonts w:ascii="宋体" w:hAnsi="宋体" w:cs="宋体"/>
      <w:sz w:val="28"/>
    </w:rPr>
  </w:style>
  <w:style w:type="paragraph" w:customStyle="1" w:styleId="48">
    <w:name w:val="tocStyle22"/>
    <w:basedOn w:val="1"/>
    <w:qFormat/>
    <w:uiPriority w:val="0"/>
    <w:rPr>
      <w:rFonts w:ascii="宋体" w:hAnsi="宋体" w:cs="宋体"/>
      <w:sz w:val="28"/>
    </w:rPr>
  </w:style>
  <w:style w:type="paragraph" w:customStyle="1" w:styleId="49">
    <w:name w:val="tocStyle23"/>
    <w:basedOn w:val="1"/>
    <w:qFormat/>
    <w:uiPriority w:val="0"/>
    <w:rPr>
      <w:rFonts w:ascii="宋体" w:hAnsi="宋体" w:cs="宋体"/>
      <w:sz w:val="28"/>
    </w:rPr>
  </w:style>
  <w:style w:type="paragraph" w:customStyle="1" w:styleId="50">
    <w:name w:val="tocStyle24"/>
    <w:basedOn w:val="1"/>
    <w:qFormat/>
    <w:uiPriority w:val="0"/>
    <w:rPr>
      <w:rFonts w:ascii="宋体" w:hAnsi="宋体" w:cs="宋体"/>
      <w:sz w:val="28"/>
    </w:rPr>
  </w:style>
  <w:style w:type="paragraph" w:customStyle="1" w:styleId="51">
    <w:name w:val="tocStyle25"/>
    <w:basedOn w:val="1"/>
    <w:qFormat/>
    <w:uiPriority w:val="0"/>
    <w:rPr>
      <w:rFonts w:ascii="宋体" w:hAnsi="宋体" w:cs="宋体"/>
      <w:sz w:val="28"/>
    </w:rPr>
  </w:style>
  <w:style w:type="paragraph" w:customStyle="1" w:styleId="52">
    <w:name w:val="tocStyle26"/>
    <w:basedOn w:val="1"/>
    <w:qFormat/>
    <w:uiPriority w:val="0"/>
    <w:rPr>
      <w:rFonts w:ascii="宋体" w:hAnsi="宋体" w:cs="宋体"/>
      <w:sz w:val="28"/>
    </w:rPr>
  </w:style>
  <w:style w:type="paragraph" w:customStyle="1" w:styleId="53">
    <w:name w:val="tocStyle27"/>
    <w:basedOn w:val="1"/>
    <w:qFormat/>
    <w:uiPriority w:val="0"/>
    <w:rPr>
      <w:rFonts w:ascii="宋体" w:hAnsi="宋体" w:cs="宋体"/>
      <w:sz w:val="28"/>
    </w:rPr>
  </w:style>
  <w:style w:type="paragraph" w:customStyle="1" w:styleId="54">
    <w:name w:val="tocStyle28"/>
    <w:basedOn w:val="1"/>
    <w:qFormat/>
    <w:uiPriority w:val="0"/>
    <w:rPr>
      <w:rFonts w:ascii="宋体" w:hAnsi="宋体" w:cs="宋体"/>
      <w:sz w:val="28"/>
    </w:rPr>
  </w:style>
  <w:style w:type="paragraph" w:customStyle="1" w:styleId="55">
    <w:name w:val="tocStyle29"/>
    <w:basedOn w:val="1"/>
    <w:qFormat/>
    <w:uiPriority w:val="0"/>
    <w:rPr>
      <w:rFonts w:ascii="宋体" w:hAnsi="宋体" w:cs="宋体"/>
      <w:sz w:val="28"/>
    </w:rPr>
  </w:style>
  <w:style w:type="paragraph" w:customStyle="1" w:styleId="56">
    <w:name w:val="tocStyle30"/>
    <w:basedOn w:val="1"/>
    <w:qFormat/>
    <w:uiPriority w:val="0"/>
    <w:rPr>
      <w:rFonts w:ascii="宋体" w:hAnsi="宋体" w:cs="宋体"/>
      <w:sz w:val="28"/>
    </w:rPr>
  </w:style>
  <w:style w:type="paragraph" w:customStyle="1" w:styleId="57">
    <w:name w:val="tocStyle31"/>
    <w:basedOn w:val="1"/>
    <w:qFormat/>
    <w:uiPriority w:val="0"/>
    <w:rPr>
      <w:rFonts w:ascii="宋体" w:hAnsi="宋体" w:cs="宋体"/>
      <w:sz w:val="28"/>
    </w:rPr>
  </w:style>
  <w:style w:type="paragraph" w:customStyle="1" w:styleId="58">
    <w:name w:val="tocStyle32"/>
    <w:basedOn w:val="1"/>
    <w:qFormat/>
    <w:uiPriority w:val="0"/>
    <w:rPr>
      <w:rFonts w:ascii="宋体" w:hAnsi="宋体" w:cs="宋体"/>
      <w:sz w:val="28"/>
    </w:rPr>
  </w:style>
  <w:style w:type="paragraph" w:customStyle="1" w:styleId="59">
    <w:name w:val="tocStyle33"/>
    <w:basedOn w:val="1"/>
    <w:qFormat/>
    <w:uiPriority w:val="0"/>
    <w:rPr>
      <w:rFonts w:ascii="宋体" w:hAnsi="宋体" w:cs="宋体"/>
      <w:sz w:val="28"/>
    </w:rPr>
  </w:style>
  <w:style w:type="paragraph" w:customStyle="1" w:styleId="60">
    <w:name w:val="tocStyle34"/>
    <w:basedOn w:val="1"/>
    <w:qFormat/>
    <w:uiPriority w:val="0"/>
    <w:rPr>
      <w:rFonts w:ascii="宋体" w:hAnsi="宋体" w:cs="宋体"/>
      <w:sz w:val="28"/>
    </w:rPr>
  </w:style>
  <w:style w:type="paragraph" w:customStyle="1" w:styleId="61">
    <w:name w:val="tocStyle35"/>
    <w:basedOn w:val="1"/>
    <w:qFormat/>
    <w:uiPriority w:val="0"/>
    <w:rPr>
      <w:rFonts w:ascii="宋体" w:hAnsi="宋体" w:cs="宋体"/>
      <w:sz w:val="28"/>
    </w:rPr>
  </w:style>
  <w:style w:type="paragraph" w:customStyle="1" w:styleId="62">
    <w:name w:val="tocStyle36"/>
    <w:basedOn w:val="1"/>
    <w:qFormat/>
    <w:uiPriority w:val="0"/>
    <w:rPr>
      <w:rFonts w:ascii="宋体" w:hAnsi="宋体" w:cs="宋体"/>
      <w:sz w:val="28"/>
    </w:rPr>
  </w:style>
  <w:style w:type="paragraph" w:customStyle="1" w:styleId="63">
    <w:name w:val="tocStyle37"/>
    <w:basedOn w:val="1"/>
    <w:qFormat/>
    <w:uiPriority w:val="0"/>
    <w:rPr>
      <w:rFonts w:ascii="宋体" w:hAnsi="宋体" w:cs="宋体"/>
      <w:sz w:val="28"/>
    </w:rPr>
  </w:style>
  <w:style w:type="paragraph" w:customStyle="1" w:styleId="64">
    <w:name w:val="tocStyle38"/>
    <w:basedOn w:val="1"/>
    <w:qFormat/>
    <w:uiPriority w:val="0"/>
    <w:rPr>
      <w:rFonts w:ascii="宋体" w:hAnsi="宋体" w:cs="宋体"/>
      <w:sz w:val="28"/>
    </w:rPr>
  </w:style>
  <w:style w:type="paragraph" w:customStyle="1" w:styleId="65">
    <w:name w:val="tocStyle39"/>
    <w:basedOn w:val="1"/>
    <w:qFormat/>
    <w:uiPriority w:val="0"/>
    <w:rPr>
      <w:rFonts w:ascii="宋体" w:hAnsi="宋体" w:cs="宋体"/>
      <w:sz w:val="28"/>
    </w:rPr>
  </w:style>
  <w:style w:type="character" w:customStyle="1" w:styleId="66">
    <w:name w:val="批注文字 Char"/>
    <w:basedOn w:val="16"/>
    <w:link w:val="6"/>
    <w:semiHidden/>
    <w:qFormat/>
    <w:uiPriority w:val="0"/>
    <w:rPr>
      <w:rFonts w:ascii="Calibri" w:hAnsi="Calibri" w:eastAsia="仿宋_GB2132"/>
      <w:kern w:val="2"/>
      <w:sz w:val="28"/>
      <w:szCs w:val="22"/>
    </w:rPr>
  </w:style>
  <w:style w:type="paragraph" w:customStyle="1" w:styleId="67">
    <w:name w:val="WPSOffice手动目录 1"/>
    <w:qFormat/>
    <w:uiPriority w:val="0"/>
    <w:pPr>
      <w:ind w:leftChars="0"/>
    </w:pPr>
    <w:rPr>
      <w:rFonts w:ascii="Times New Roman" w:hAnsi="Times New Roman" w:eastAsia="宋体" w:cs="Times New Roman"/>
      <w:sz w:val="20"/>
      <w:szCs w:val="20"/>
    </w:rPr>
  </w:style>
  <w:style w:type="paragraph" w:customStyle="1" w:styleId="68">
    <w:name w:val="WPSOffice手动目录 2"/>
    <w:qFormat/>
    <w:uiPriority w:val="0"/>
    <w:pPr>
      <w:ind w:leftChars="200"/>
    </w:pPr>
    <w:rPr>
      <w:rFonts w:ascii="Times New Roman" w:hAnsi="Times New Roman" w:eastAsia="宋体" w:cs="Times New Roman"/>
      <w:sz w:val="20"/>
      <w:szCs w:val="20"/>
    </w:rPr>
  </w:style>
  <w:style w:type="paragraph" w:customStyle="1" w:styleId="6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1.jpeg"/><Relationship Id="rId98" Type="http://schemas.openxmlformats.org/officeDocument/2006/relationships/image" Target="media/image90.jpeg"/><Relationship Id="rId97" Type="http://schemas.openxmlformats.org/officeDocument/2006/relationships/image" Target="media/image89.jpeg"/><Relationship Id="rId96" Type="http://schemas.openxmlformats.org/officeDocument/2006/relationships/image" Target="media/image88.jpeg"/><Relationship Id="rId95" Type="http://schemas.openxmlformats.org/officeDocument/2006/relationships/image" Target="media/image87.jpeg"/><Relationship Id="rId94" Type="http://schemas.openxmlformats.org/officeDocument/2006/relationships/image" Target="media/image86.jpeg"/><Relationship Id="rId93" Type="http://schemas.openxmlformats.org/officeDocument/2006/relationships/image" Target="media/image85.jpeg"/><Relationship Id="rId92" Type="http://schemas.openxmlformats.org/officeDocument/2006/relationships/image" Target="media/image84.jpeg"/><Relationship Id="rId91" Type="http://schemas.openxmlformats.org/officeDocument/2006/relationships/image" Target="media/image83.jpeg"/><Relationship Id="rId90" Type="http://schemas.openxmlformats.org/officeDocument/2006/relationships/image" Target="media/image82.jpeg"/><Relationship Id="rId9" Type="http://schemas.openxmlformats.org/officeDocument/2006/relationships/image" Target="media/image3.jpeg"/><Relationship Id="rId89" Type="http://schemas.openxmlformats.org/officeDocument/2006/relationships/image" Target="media/image81.jpeg"/><Relationship Id="rId88" Type="http://schemas.openxmlformats.org/officeDocument/2006/relationships/image" Target="media/image80.jpeg"/><Relationship Id="rId87" Type="http://schemas.openxmlformats.org/officeDocument/2006/relationships/image" Target="media/image79.jpeg"/><Relationship Id="rId86" Type="http://schemas.openxmlformats.org/officeDocument/2006/relationships/image" Target="media/image78.jpeg"/><Relationship Id="rId85" Type="http://schemas.openxmlformats.org/officeDocument/2006/relationships/image" Target="media/image77.jpeg"/><Relationship Id="rId84" Type="http://schemas.openxmlformats.org/officeDocument/2006/relationships/image" Target="media/image76.jpeg"/><Relationship Id="rId83" Type="http://schemas.openxmlformats.org/officeDocument/2006/relationships/image" Target="media/image75.jpeg"/><Relationship Id="rId82" Type="http://schemas.openxmlformats.org/officeDocument/2006/relationships/image" Target="media/image74.jpeg"/><Relationship Id="rId81" Type="http://schemas.openxmlformats.org/officeDocument/2006/relationships/image" Target="media/image73.jpeg"/><Relationship Id="rId80" Type="http://schemas.openxmlformats.org/officeDocument/2006/relationships/image" Target="media/image72.jpeg"/><Relationship Id="rId8" Type="http://schemas.openxmlformats.org/officeDocument/2006/relationships/image" Target="media/image2.jpeg"/><Relationship Id="rId79" Type="http://schemas.openxmlformats.org/officeDocument/2006/relationships/image" Target="media/image71.jpeg"/><Relationship Id="rId78" Type="http://schemas.openxmlformats.org/officeDocument/2006/relationships/image" Target="media/image70.jpeg"/><Relationship Id="rId77" Type="http://schemas.openxmlformats.org/officeDocument/2006/relationships/image" Target="media/image69.jpeg"/><Relationship Id="rId76" Type="http://schemas.openxmlformats.org/officeDocument/2006/relationships/image" Target="media/image68.jpeg"/><Relationship Id="rId75" Type="http://schemas.openxmlformats.org/officeDocument/2006/relationships/image" Target="media/image67.jpeg"/><Relationship Id="rId74" Type="http://schemas.openxmlformats.org/officeDocument/2006/relationships/image" Target="media/image66.jpeg"/><Relationship Id="rId73" Type="http://schemas.openxmlformats.org/officeDocument/2006/relationships/image" Target="media/image65.jpeg"/><Relationship Id="rId72" Type="http://schemas.openxmlformats.org/officeDocument/2006/relationships/image" Target="media/image64.jpeg"/><Relationship Id="rId71" Type="http://schemas.openxmlformats.org/officeDocument/2006/relationships/image" Target="media/image63.jpeg"/><Relationship Id="rId70" Type="http://schemas.openxmlformats.org/officeDocument/2006/relationships/image" Target="media/image62.jpeg"/><Relationship Id="rId7" Type="http://schemas.openxmlformats.org/officeDocument/2006/relationships/chart" Target="charts/chart2.xml"/><Relationship Id="rId69" Type="http://schemas.openxmlformats.org/officeDocument/2006/relationships/image" Target="media/image61.jpeg"/><Relationship Id="rId68" Type="http://schemas.openxmlformats.org/officeDocument/2006/relationships/image" Target="media/image60.jpeg"/><Relationship Id="rId67" Type="http://schemas.openxmlformats.org/officeDocument/2006/relationships/image" Target="media/image59.jpeg"/><Relationship Id="rId66" Type="http://schemas.openxmlformats.org/officeDocument/2006/relationships/image" Target="media/image58.jpeg"/><Relationship Id="rId65" Type="http://schemas.openxmlformats.org/officeDocument/2006/relationships/image" Target="media/image57.jpeg"/><Relationship Id="rId64" Type="http://schemas.openxmlformats.org/officeDocument/2006/relationships/image" Target="media/image56.jpeg"/><Relationship Id="rId63" Type="http://schemas.openxmlformats.org/officeDocument/2006/relationships/image" Target="media/image55.jpeg"/><Relationship Id="rId62" Type="http://schemas.openxmlformats.org/officeDocument/2006/relationships/image" Target="media/image54.jpeg"/><Relationship Id="rId61" Type="http://schemas.openxmlformats.org/officeDocument/2006/relationships/image" Target="media/image53.jpeg"/><Relationship Id="rId60" Type="http://schemas.openxmlformats.org/officeDocument/2006/relationships/image" Target="media/image52.jpeg"/><Relationship Id="rId6" Type="http://schemas.openxmlformats.org/officeDocument/2006/relationships/chart" Target="charts/chart1.xml"/><Relationship Id="rId59" Type="http://schemas.openxmlformats.org/officeDocument/2006/relationships/image" Target="media/image51.jpeg"/><Relationship Id="rId58" Type="http://schemas.openxmlformats.org/officeDocument/2006/relationships/image" Target="media/image50.jpeg"/><Relationship Id="rId57" Type="http://schemas.openxmlformats.org/officeDocument/2006/relationships/image" Target="media/image49.jpeg"/><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pn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image" Target="media/image1.png"/><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chart" Target="charts/chart4.xml"/><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theme" Target="theme/theme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0" Type="http://schemas.openxmlformats.org/officeDocument/2006/relationships/fontTable" Target="fontTable.xml"/><Relationship Id="rId14" Type="http://schemas.openxmlformats.org/officeDocument/2006/relationships/image" Target="media/image7.jpeg"/><Relationship Id="rId139" Type="http://schemas.openxmlformats.org/officeDocument/2006/relationships/customXml" Target="../customXml/item2.xml"/><Relationship Id="rId138" Type="http://schemas.openxmlformats.org/officeDocument/2006/relationships/numbering" Target="numbering.xml"/><Relationship Id="rId137" Type="http://schemas.openxmlformats.org/officeDocument/2006/relationships/customXml" Target="../customXml/item1.xml"/><Relationship Id="rId136" Type="http://schemas.openxmlformats.org/officeDocument/2006/relationships/image" Target="media/image128.jpeg"/><Relationship Id="rId135" Type="http://schemas.openxmlformats.org/officeDocument/2006/relationships/image" Target="media/image127.jpeg"/><Relationship Id="rId134" Type="http://schemas.openxmlformats.org/officeDocument/2006/relationships/image" Target="media/image126.jpeg"/><Relationship Id="rId133" Type="http://schemas.openxmlformats.org/officeDocument/2006/relationships/image" Target="media/image125.jpeg"/><Relationship Id="rId132" Type="http://schemas.openxmlformats.org/officeDocument/2006/relationships/image" Target="media/image124.jpeg"/><Relationship Id="rId131" Type="http://schemas.openxmlformats.org/officeDocument/2006/relationships/image" Target="media/image123.jpeg"/><Relationship Id="rId130" Type="http://schemas.openxmlformats.org/officeDocument/2006/relationships/image" Target="media/image122.jpeg"/><Relationship Id="rId13" Type="http://schemas.openxmlformats.org/officeDocument/2006/relationships/image" Target="media/image6.jpeg"/><Relationship Id="rId129" Type="http://schemas.openxmlformats.org/officeDocument/2006/relationships/image" Target="media/image121.jpeg"/><Relationship Id="rId128" Type="http://schemas.openxmlformats.org/officeDocument/2006/relationships/image" Target="media/image120.png"/><Relationship Id="rId127" Type="http://schemas.openxmlformats.org/officeDocument/2006/relationships/image" Target="media/image119.png"/><Relationship Id="rId126" Type="http://schemas.openxmlformats.org/officeDocument/2006/relationships/image" Target="media/image118.png"/><Relationship Id="rId125" Type="http://schemas.openxmlformats.org/officeDocument/2006/relationships/image" Target="media/image117.jpeg"/><Relationship Id="rId124" Type="http://schemas.openxmlformats.org/officeDocument/2006/relationships/image" Target="media/image116.png"/><Relationship Id="rId123" Type="http://schemas.openxmlformats.org/officeDocument/2006/relationships/image" Target="media/image115.png"/><Relationship Id="rId122" Type="http://schemas.openxmlformats.org/officeDocument/2006/relationships/image" Target="media/image114.jpeg"/><Relationship Id="rId121" Type="http://schemas.openxmlformats.org/officeDocument/2006/relationships/image" Target="media/image113.jpeg"/><Relationship Id="rId120" Type="http://schemas.openxmlformats.org/officeDocument/2006/relationships/image" Target="media/image112.jpeg"/><Relationship Id="rId12" Type="http://schemas.openxmlformats.org/officeDocument/2006/relationships/chart" Target="charts/chart3.xml"/><Relationship Id="rId119" Type="http://schemas.openxmlformats.org/officeDocument/2006/relationships/image" Target="media/image111.jpeg"/><Relationship Id="rId118" Type="http://schemas.openxmlformats.org/officeDocument/2006/relationships/image" Target="media/image110.jpeg"/><Relationship Id="rId117" Type="http://schemas.openxmlformats.org/officeDocument/2006/relationships/image" Target="media/image109.jpeg"/><Relationship Id="rId116" Type="http://schemas.openxmlformats.org/officeDocument/2006/relationships/image" Target="media/image108.jpeg"/><Relationship Id="rId115" Type="http://schemas.openxmlformats.org/officeDocument/2006/relationships/image" Target="media/image107.jpeg"/><Relationship Id="rId114" Type="http://schemas.openxmlformats.org/officeDocument/2006/relationships/image" Target="media/image106.jpeg"/><Relationship Id="rId113" Type="http://schemas.openxmlformats.org/officeDocument/2006/relationships/image" Target="media/image105.jpeg"/><Relationship Id="rId112" Type="http://schemas.openxmlformats.org/officeDocument/2006/relationships/image" Target="media/image104.jpeg"/><Relationship Id="rId111" Type="http://schemas.openxmlformats.org/officeDocument/2006/relationships/image" Target="media/image103.jpeg"/><Relationship Id="rId110" Type="http://schemas.openxmlformats.org/officeDocument/2006/relationships/image" Target="media/image102.jpeg"/><Relationship Id="rId11" Type="http://schemas.openxmlformats.org/officeDocument/2006/relationships/image" Target="media/image5.jpeg"/><Relationship Id="rId109" Type="http://schemas.openxmlformats.org/officeDocument/2006/relationships/image" Target="media/image101.jpeg"/><Relationship Id="rId108" Type="http://schemas.openxmlformats.org/officeDocument/2006/relationships/image" Target="media/image100.jpeg"/><Relationship Id="rId107" Type="http://schemas.openxmlformats.org/officeDocument/2006/relationships/image" Target="media/image99.jpeg"/><Relationship Id="rId106" Type="http://schemas.openxmlformats.org/officeDocument/2006/relationships/image" Target="media/image98.jpeg"/><Relationship Id="rId105" Type="http://schemas.openxmlformats.org/officeDocument/2006/relationships/image" Target="media/image97.jpeg"/><Relationship Id="rId104" Type="http://schemas.openxmlformats.org/officeDocument/2006/relationships/image" Target="media/image96.jpeg"/><Relationship Id="rId103" Type="http://schemas.openxmlformats.org/officeDocument/2006/relationships/image" Target="media/image95.jpeg"/><Relationship Id="rId102" Type="http://schemas.openxmlformats.org/officeDocument/2006/relationships/image" Target="media/image94.jpeg"/><Relationship Id="rId101" Type="http://schemas.openxmlformats.org/officeDocument/2006/relationships/image" Target="media/image93.jpeg"/><Relationship Id="rId100" Type="http://schemas.openxmlformats.org/officeDocument/2006/relationships/image" Target="media/image92.jpeg"/><Relationship Id="rId10" Type="http://schemas.openxmlformats.org/officeDocument/2006/relationships/image" Target="media/image4.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Sheet1!#REF!</c:f>
              <c:strCache>
                <c:ptCount val="1"/>
                <c:pt idx="0">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50000"/>
                          <a:lumOff val="50000"/>
                        </a:schemeClr>
                      </a:solidFill>
                      <a:prstDash val="solid"/>
                      <a:round/>
                    </a:ln>
                    <a:effectLst/>
                  </c:spPr>
                </c15:leaderLines>
              </c:ext>
            </c:extLst>
          </c:dLbls>
          <c:cat>
            <c:strRef>
              <c:f>Sheet1!$A$1:$A$3</c:f>
              <c:strCache>
                <c:ptCount val="3"/>
                <c:pt idx="0">
                  <c:v>占地面积（万平方米）</c:v>
                </c:pt>
                <c:pt idx="1">
                  <c:v>建筑面积（万平方米）</c:v>
                </c:pt>
                <c:pt idx="2">
                  <c:v>绿地面积（万平方米）</c:v>
                </c:pt>
              </c:strCache>
            </c:strRef>
          </c:cat>
          <c:val>
            <c:numRef>
              <c:f>Sheet1!$B$1:$B$3</c:f>
              <c:numCache>
                <c:formatCode>General</c:formatCode>
                <c:ptCount val="3"/>
                <c:pt idx="0">
                  <c:v>11.126</c:v>
                </c:pt>
                <c:pt idx="1">
                  <c:v>4.5234</c:v>
                </c:pt>
                <c:pt idx="2">
                  <c:v>2.381</c:v>
                </c:pt>
              </c:numCache>
            </c:numRef>
          </c:val>
        </c:ser>
        <c:dLbls>
          <c:showLegendKey val="0"/>
          <c:showVal val="1"/>
          <c:showCatName val="0"/>
          <c:showSerName val="0"/>
          <c:showPercent val="0"/>
          <c:showBubbleSize val="0"/>
        </c:dLbls>
        <c:gapWidth val="41"/>
        <c:axId val="82657664"/>
        <c:axId val="82659200"/>
      </c:barChart>
      <c:catAx>
        <c:axId val="82657664"/>
        <c:scaling>
          <c:orientation val="minMax"/>
        </c:scaling>
        <c:delete val="0"/>
        <c:axPos val="b"/>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effectLst/>
                <a:latin typeface="+mn-lt"/>
                <a:ea typeface="+mn-ea"/>
                <a:cs typeface="+mn-cs"/>
              </a:defRPr>
            </a:pPr>
          </a:p>
        </c:txPr>
        <c:crossAx val="82659200"/>
        <c:crosses val="autoZero"/>
        <c:auto val="1"/>
        <c:lblAlgn val="ctr"/>
        <c:lblOffset val="100"/>
        <c:noMultiLvlLbl val="0"/>
      </c:catAx>
      <c:valAx>
        <c:axId val="82659200"/>
        <c:scaling>
          <c:orientation val="minMax"/>
        </c:scaling>
        <c:delete val="1"/>
        <c:axPos val="l"/>
        <c:numFmt formatCode="General"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265766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gradFill>
    <a:ln w="9525" cap="flat" cmpd="sng" algn="ctr">
      <a:solidFill>
        <a:schemeClr val="dk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33552044663156"/>
          <c:y val="0.0516431924882623"/>
          <c:w val="0.853549742438636"/>
          <c:h val="0.724037558685447"/>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50000"/>
                          <a:lumOff val="50000"/>
                        </a:schemeClr>
                      </a:solidFill>
                      <a:prstDash val="solid"/>
                      <a:round/>
                    </a:ln>
                    <a:effectLst/>
                  </c:spPr>
                </c15:leaderLines>
              </c:ext>
            </c:extLst>
          </c:dLbls>
          <c:cat>
            <c:strRef>
              <c:f>Sheet1!$A$1:$A$5</c:f>
              <c:strCache>
                <c:ptCount val="5"/>
                <c:pt idx="0">
                  <c:v>教学楼</c:v>
                </c:pt>
                <c:pt idx="1">
                  <c:v>训练馆</c:v>
                </c:pt>
                <c:pt idx="2">
                  <c:v>学生宿舍</c:v>
                </c:pt>
                <c:pt idx="3">
                  <c:v>师生餐厅</c:v>
                </c:pt>
                <c:pt idx="4">
                  <c:v>室外训练场</c:v>
                </c:pt>
              </c:strCache>
            </c:strRef>
          </c:cat>
          <c:val>
            <c:numRef>
              <c:f>Sheet1!$B$1:$B$5</c:f>
              <c:numCache>
                <c:formatCode>General</c:formatCode>
                <c:ptCount val="5"/>
                <c:pt idx="0">
                  <c:v>13579</c:v>
                </c:pt>
                <c:pt idx="1">
                  <c:v>14425</c:v>
                </c:pt>
                <c:pt idx="2">
                  <c:v>13574</c:v>
                </c:pt>
                <c:pt idx="3">
                  <c:v>1998</c:v>
                </c:pt>
                <c:pt idx="4">
                  <c:v>41520</c:v>
                </c:pt>
              </c:numCache>
            </c:numRef>
          </c:val>
        </c:ser>
        <c:dLbls>
          <c:showLegendKey val="0"/>
          <c:showVal val="1"/>
          <c:showCatName val="0"/>
          <c:showSerName val="0"/>
          <c:showPercent val="0"/>
          <c:showBubbleSize val="0"/>
        </c:dLbls>
        <c:gapWidth val="41"/>
        <c:axId val="82678912"/>
        <c:axId val="82680448"/>
      </c:barChart>
      <c:catAx>
        <c:axId val="82678912"/>
        <c:scaling>
          <c:orientation val="minMax"/>
        </c:scaling>
        <c:delete val="0"/>
        <c:axPos val="b"/>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effectLst/>
                <a:latin typeface="+mn-lt"/>
                <a:ea typeface="+mn-ea"/>
                <a:cs typeface="+mn-cs"/>
              </a:defRPr>
            </a:pPr>
          </a:p>
        </c:txPr>
        <c:crossAx val="82680448"/>
        <c:crosses val="autoZero"/>
        <c:auto val="1"/>
        <c:lblAlgn val="ctr"/>
        <c:lblOffset val="100"/>
        <c:noMultiLvlLbl val="0"/>
      </c:catAx>
      <c:valAx>
        <c:axId val="82680448"/>
        <c:scaling>
          <c:orientation val="minMax"/>
        </c:scaling>
        <c:delete val="1"/>
        <c:axPos val="l"/>
        <c:numFmt formatCode="General"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267891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gradFill>
    <a:ln w="9525" cap="flat" cmpd="sng" algn="ctr">
      <a:solidFill>
        <a:schemeClr val="dk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2020</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Sheet1!$A$2:$A$8</c:f>
              <c:strCache>
                <c:ptCount val="7"/>
                <c:pt idx="0">
                  <c:v>专任教师</c:v>
                </c:pt>
                <c:pt idx="1">
                  <c:v>专业课教师</c:v>
                </c:pt>
                <c:pt idx="2">
                  <c:v>双师型教师</c:v>
                </c:pt>
                <c:pt idx="3">
                  <c:v>高级职称</c:v>
                </c:pt>
                <c:pt idx="4">
                  <c:v>研究生</c:v>
                </c:pt>
                <c:pt idx="5">
                  <c:v>本科学历</c:v>
                </c:pt>
                <c:pt idx="6">
                  <c:v>校外兼职教师</c:v>
                </c:pt>
              </c:strCache>
            </c:strRef>
          </c:cat>
          <c:val>
            <c:numRef>
              <c:f>Sheet1!$B$2:$B$8</c:f>
              <c:numCache>
                <c:formatCode>General</c:formatCode>
                <c:ptCount val="7"/>
                <c:pt idx="0">
                  <c:v>74</c:v>
                </c:pt>
                <c:pt idx="1">
                  <c:v>37</c:v>
                </c:pt>
                <c:pt idx="2">
                  <c:v>41</c:v>
                </c:pt>
                <c:pt idx="3">
                  <c:v>29</c:v>
                </c:pt>
                <c:pt idx="4">
                  <c:v>8</c:v>
                </c:pt>
                <c:pt idx="5">
                  <c:v>66</c:v>
                </c:pt>
                <c:pt idx="6">
                  <c:v>24</c:v>
                </c:pt>
              </c:numCache>
            </c:numRef>
          </c:val>
        </c:ser>
        <c:ser>
          <c:idx val="1"/>
          <c:order val="1"/>
          <c:tx>
            <c:strRef>
              <c:f>Sheet1!$C$1</c:f>
              <c:strCache>
                <c:ptCount val="1"/>
                <c:pt idx="0">
                  <c:v>2021</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Sheet1!$A$2:$A$8</c:f>
              <c:strCache>
                <c:ptCount val="7"/>
                <c:pt idx="0">
                  <c:v>专任教师</c:v>
                </c:pt>
                <c:pt idx="1">
                  <c:v>专业课教师</c:v>
                </c:pt>
                <c:pt idx="2">
                  <c:v>双师型教师</c:v>
                </c:pt>
                <c:pt idx="3">
                  <c:v>高级职称</c:v>
                </c:pt>
                <c:pt idx="4">
                  <c:v>研究生</c:v>
                </c:pt>
                <c:pt idx="5">
                  <c:v>本科学历</c:v>
                </c:pt>
                <c:pt idx="6">
                  <c:v>校外兼职教师</c:v>
                </c:pt>
              </c:strCache>
            </c:strRef>
          </c:cat>
          <c:val>
            <c:numRef>
              <c:f>Sheet1!$C$2:$C$8</c:f>
              <c:numCache>
                <c:formatCode>General</c:formatCode>
                <c:ptCount val="7"/>
                <c:pt idx="0">
                  <c:v>70</c:v>
                </c:pt>
                <c:pt idx="1">
                  <c:v>37</c:v>
                </c:pt>
                <c:pt idx="2">
                  <c:v>41</c:v>
                </c:pt>
                <c:pt idx="3">
                  <c:v>29</c:v>
                </c:pt>
                <c:pt idx="4">
                  <c:v>9</c:v>
                </c:pt>
                <c:pt idx="5">
                  <c:v>61</c:v>
                </c:pt>
                <c:pt idx="6">
                  <c:v>24</c:v>
                </c:pt>
              </c:numCache>
            </c:numRef>
          </c:val>
        </c:ser>
        <c:ser>
          <c:idx val="2"/>
          <c:order val="2"/>
          <c:tx>
            <c:strRef>
              <c:f>Sheet1!$D$1</c:f>
              <c:strCache>
                <c:ptCount val="1"/>
                <c:pt idx="0">
                  <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Sheet1!$A$2:$A$8</c:f>
              <c:strCache>
                <c:ptCount val="7"/>
                <c:pt idx="0">
                  <c:v>专任教师</c:v>
                </c:pt>
                <c:pt idx="1">
                  <c:v>专业课教师</c:v>
                </c:pt>
                <c:pt idx="2">
                  <c:v>双师型教师</c:v>
                </c:pt>
                <c:pt idx="3">
                  <c:v>高级职称</c:v>
                </c:pt>
                <c:pt idx="4">
                  <c:v>研究生</c:v>
                </c:pt>
                <c:pt idx="5">
                  <c:v>本科学历</c:v>
                </c:pt>
                <c:pt idx="6">
                  <c:v>校外兼职教师</c:v>
                </c:pt>
              </c:strCache>
            </c:strRef>
          </c:cat>
          <c:val>
            <c:numRef>
              <c:f>Sheet1!$D$2:$D$8</c:f>
              <c:numCache>
                <c:formatCode>General</c:formatCode>
                <c:ptCount val="7"/>
                <c:pt idx="0">
                  <c:v>0</c:v>
                </c:pt>
                <c:pt idx="1">
                  <c:v>0</c:v>
                </c:pt>
                <c:pt idx="2">
                  <c:v>0</c:v>
                </c:pt>
                <c:pt idx="3">
                  <c:v>0</c:v>
                </c:pt>
                <c:pt idx="4">
                  <c:v>0</c:v>
                </c:pt>
                <c:pt idx="5">
                  <c:v>0</c:v>
                </c:pt>
                <c:pt idx="6">
                  <c:v>0</c:v>
                </c:pt>
              </c:numCache>
            </c:numRef>
          </c:val>
        </c:ser>
        <c:dLbls>
          <c:showLegendKey val="0"/>
          <c:showVal val="0"/>
          <c:showCatName val="0"/>
          <c:showSerName val="0"/>
          <c:showPercent val="0"/>
          <c:showBubbleSize val="0"/>
        </c:dLbls>
        <c:gapWidth val="75"/>
        <c:overlap val="0"/>
        <c:axId val="82729984"/>
        <c:axId val="82985728"/>
      </c:barChart>
      <c:catAx>
        <c:axId val="82729984"/>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985728"/>
        <c:crosses val="autoZero"/>
        <c:auto val="1"/>
        <c:lblAlgn val="ctr"/>
        <c:lblOffset val="100"/>
        <c:noMultiLvlLbl val="0"/>
      </c:catAx>
      <c:valAx>
        <c:axId val="82985728"/>
        <c:scaling>
          <c:orientation val="minMax"/>
        </c:scaling>
        <c:delete val="0"/>
        <c:axPos val="l"/>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72998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0" i="0" u="none" strike="noStrike" kern="1200" baseline="0">
                <a:solidFill>
                  <a:schemeClr val="dk1">
                    <a:lumMod val="65000"/>
                    <a:lumOff val="35000"/>
                  </a:schemeClr>
                </a:solidFill>
                <a:effectLst/>
                <a:latin typeface="+mn-lt"/>
                <a:ea typeface="+mn-ea"/>
                <a:cs typeface="+mn-cs"/>
              </a:defRPr>
            </a:pPr>
            <a:r>
              <a:t>校企合作数量</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系列 1</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a:solidFill>
                        <a:schemeClr val="dk1">
                          <a:lumMod val="50000"/>
                          <a:lumOff val="50000"/>
                        </a:schemeClr>
                      </a:solidFill>
                    </a:ln>
                    <a:effectLst/>
                  </c:spPr>
                </c15:leaderLines>
              </c:ext>
            </c:extLst>
          </c:dLbls>
          <c:cat>
            <c:strRef>
              <c:f>Sheet1!$A$2:$A$5</c:f>
              <c:strCache>
                <c:ptCount val="4"/>
                <c:pt idx="0">
                  <c:v>2018年</c:v>
                </c:pt>
                <c:pt idx="1">
                  <c:v>2019年</c:v>
                </c:pt>
                <c:pt idx="2">
                  <c:v>2020年</c:v>
                </c:pt>
                <c:pt idx="3">
                  <c:v>2021年</c:v>
                </c:pt>
              </c:strCache>
            </c:strRef>
          </c:cat>
          <c:val>
            <c:numRef>
              <c:f>Sheet1!$B$2:$B$5</c:f>
              <c:numCache>
                <c:formatCode>General</c:formatCode>
                <c:ptCount val="4"/>
                <c:pt idx="0">
                  <c:v>1</c:v>
                </c:pt>
                <c:pt idx="1">
                  <c:v>2</c:v>
                </c:pt>
                <c:pt idx="2">
                  <c:v>3</c:v>
                </c:pt>
                <c:pt idx="3">
                  <c:v>4</c:v>
                </c:pt>
              </c:numCache>
            </c:numRef>
          </c:val>
        </c:ser>
        <c:dLbls>
          <c:showLegendKey val="0"/>
          <c:showVal val="1"/>
          <c:showCatName val="0"/>
          <c:showSerName val="0"/>
          <c:showPercent val="0"/>
          <c:showBubbleSize val="0"/>
        </c:dLbls>
        <c:gapWidth val="41"/>
        <c:overlap val="0"/>
        <c:axId val="459620008"/>
        <c:axId val="681206784"/>
      </c:barChart>
      <c:catAx>
        <c:axId val="459620008"/>
        <c:scaling>
          <c:orientation val="minMax"/>
        </c:scaling>
        <c:delete val="0"/>
        <c:axPos val="b"/>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effectLst/>
                <a:latin typeface="+mn-lt"/>
                <a:ea typeface="+mn-ea"/>
                <a:cs typeface="+mn-cs"/>
              </a:defRPr>
            </a:pPr>
          </a:p>
        </c:txPr>
        <c:crossAx val="681206784"/>
        <c:crosses val="autoZero"/>
        <c:auto val="1"/>
        <c:lblAlgn val="ctr"/>
        <c:lblOffset val="100"/>
        <c:noMultiLvlLbl val="0"/>
      </c:catAx>
      <c:valAx>
        <c:axId val="681206784"/>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45962000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grad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53BEEB-F137-4169-97AA-FCD43D18B7A4}">
  <ds:schemaRefs/>
</ds:datastoreItem>
</file>

<file path=docProps/app.xml><?xml version="1.0" encoding="utf-8"?>
<Properties xmlns="http://schemas.openxmlformats.org/officeDocument/2006/extended-properties" xmlns:vt="http://schemas.openxmlformats.org/officeDocument/2006/docPropsVTypes">
  <Template>Normal</Template>
  <Company>xiabai</Company>
  <Pages>78</Pages>
  <Words>29066</Words>
  <Characters>31101</Characters>
  <Lines>232</Lines>
  <Paragraphs>65</Paragraphs>
  <TotalTime>1</TotalTime>
  <ScaleCrop>false</ScaleCrop>
  <LinksUpToDate>false</LinksUpToDate>
  <CharactersWithSpaces>32674</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2021-11-12T00:31:00Z</dcterms:created>
  <dc:creator>xiabai</dc:creator>
  <cp:lastModifiedBy>牙疼</cp:lastModifiedBy>
  <cp:lastPrinted>2021-02-05T00:34:00Z</cp:lastPrinted>
  <dcterms:modified xsi:type="dcterms:W3CDTF">2021-11-22T01:06:51Z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87BA78AC0EA94EFE998D34C5A115E9A4</vt:lpwstr>
  </property>
</Properties>
</file>